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328D" w14:textId="2EDBE634" w:rsidR="00F72F3C" w:rsidRDefault="008B2C21" w:rsidP="00A17EF3">
      <w:pPr>
        <w:tabs>
          <w:tab w:val="left" w:pos="9214"/>
        </w:tabs>
      </w:pPr>
      <w:r>
        <w:rPr>
          <w:noProof/>
          <w:lang w:eastAsia="cs-CZ"/>
        </w:rPr>
        <mc:AlternateContent>
          <mc:Choice Requires="wps">
            <w:drawing>
              <wp:anchor distT="45720" distB="45720" distL="114300" distR="114300" simplePos="0" relativeHeight="251658240" behindDoc="0" locked="0" layoutInCell="1" allowOverlap="1" wp14:anchorId="4D78F7A3" wp14:editId="1C6E3F29">
                <wp:simplePos x="0" y="0"/>
                <wp:positionH relativeFrom="margin">
                  <wp:posOffset>-1270</wp:posOffset>
                </wp:positionH>
                <wp:positionV relativeFrom="paragraph">
                  <wp:posOffset>1941195</wp:posOffset>
                </wp:positionV>
                <wp:extent cx="5471795" cy="3558540"/>
                <wp:effectExtent l="0" t="0" r="0"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3558540"/>
                        </a:xfrm>
                        <a:prstGeom prst="rect">
                          <a:avLst/>
                        </a:prstGeom>
                        <a:noFill/>
                        <a:ln w="9525">
                          <a:noFill/>
                          <a:miter lim="800000"/>
                          <a:headEnd/>
                          <a:tailEnd/>
                        </a:ln>
                      </wps:spPr>
                      <wps:txbx>
                        <w:txbxContent>
                          <w:p w14:paraId="0F89226B" w14:textId="2AA40FF9" w:rsidR="00CE7996" w:rsidRDefault="008248A8" w:rsidP="006D7B98">
                            <w:pPr>
                              <w:pStyle w:val="Nzev"/>
                              <w:rPr>
                                <w:rFonts w:asciiTheme="minorHAnsi" w:eastAsia="Times New Roman" w:hAnsiTheme="minorHAnsi" w:cstheme="minorHAnsi"/>
                                <w:bCs/>
                                <w:smallCaps/>
                                <w:color w:val="808080" w:themeColor="background1" w:themeShade="80"/>
                                <w:sz w:val="60"/>
                                <w:szCs w:val="60"/>
                                <w:lang w:eastAsia="cs-CZ"/>
                              </w:rPr>
                            </w:pPr>
                            <w:r w:rsidRPr="008248A8">
                              <w:rPr>
                                <w:rFonts w:asciiTheme="minorHAnsi" w:eastAsia="Times New Roman" w:hAnsiTheme="minorHAnsi" w:cstheme="minorHAnsi"/>
                                <w:bCs/>
                                <w:smallCaps/>
                                <w:color w:val="808080" w:themeColor="background1" w:themeShade="80"/>
                                <w:sz w:val="60"/>
                                <w:szCs w:val="60"/>
                                <w:lang w:eastAsia="cs-CZ"/>
                              </w:rPr>
                              <w:t>Monitorovací rámec Strategie 2030 - analýza dat</w:t>
                            </w:r>
                            <w:r w:rsidR="008B2C21">
                              <w:rPr>
                                <w:rFonts w:asciiTheme="minorHAnsi" w:eastAsia="Times New Roman" w:hAnsiTheme="minorHAnsi" w:cstheme="minorHAnsi"/>
                                <w:bCs/>
                                <w:smallCaps/>
                                <w:color w:val="808080" w:themeColor="background1" w:themeShade="80"/>
                                <w:sz w:val="60"/>
                                <w:szCs w:val="60"/>
                                <w:lang w:eastAsia="cs-CZ"/>
                              </w:rPr>
                              <w:br/>
                            </w:r>
                          </w:p>
                          <w:p w14:paraId="58EF8106" w14:textId="73059354" w:rsidR="00EE428C" w:rsidRPr="00706D95" w:rsidRDefault="00EE428C" w:rsidP="006D7B98">
                            <w:pPr>
                              <w:pStyle w:val="Nzev"/>
                              <w:rPr>
                                <w:rFonts w:asciiTheme="minorHAnsi" w:eastAsia="Times New Roman" w:hAnsiTheme="minorHAnsi" w:cstheme="minorHAnsi"/>
                                <w:bCs/>
                                <w:smallCaps/>
                                <w:color w:val="808080" w:themeColor="background1" w:themeShade="80"/>
                                <w:sz w:val="48"/>
                                <w:szCs w:val="48"/>
                                <w:lang w:eastAsia="cs-C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8F7A3" id="_x0000_t202" coordsize="21600,21600" o:spt="202" path="m,l,21600r21600,l21600,xe">
                <v:stroke joinstyle="miter"/>
                <v:path gradientshapeok="t" o:connecttype="rect"/>
              </v:shapetype>
              <v:shape id="Textové pole 2" o:spid="_x0000_s1026" type="#_x0000_t202" style="position:absolute;margin-left:-.1pt;margin-top:152.85pt;width:430.85pt;height:28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" filled="f" stroked="f">
                <v:textbox>
                  <w:txbxContent>
                    <w:p w14:paraId="0F89226B" w14:textId="2AA40FF9" w:rsidR="00CE7996" w:rsidRDefault="008248A8" w:rsidP="006D7B98">
                      <w:pPr>
                        <w:pStyle w:val="Nzev"/>
                        <w:rPr>
                          <w:rFonts w:asciiTheme="minorHAnsi" w:eastAsia="Times New Roman" w:hAnsiTheme="minorHAnsi" w:cstheme="minorHAnsi"/>
                          <w:bCs/>
                          <w:smallCaps/>
                          <w:color w:val="808080" w:themeColor="background1" w:themeShade="80"/>
                          <w:sz w:val="60"/>
                          <w:szCs w:val="60"/>
                          <w:lang w:eastAsia="cs-CZ"/>
                        </w:rPr>
                      </w:pPr>
                      <w:r w:rsidRPr="008248A8">
                        <w:rPr>
                          <w:rFonts w:asciiTheme="minorHAnsi" w:eastAsia="Times New Roman" w:hAnsiTheme="minorHAnsi" w:cstheme="minorHAnsi"/>
                          <w:bCs/>
                          <w:smallCaps/>
                          <w:color w:val="808080" w:themeColor="background1" w:themeShade="80"/>
                          <w:sz w:val="60"/>
                          <w:szCs w:val="60"/>
                          <w:lang w:eastAsia="cs-CZ"/>
                        </w:rPr>
                        <w:t>Monitorovací rámec Strategie 2030 - analýza dat</w:t>
                      </w:r>
                      <w:r w:rsidR="008B2C21">
                        <w:rPr>
                          <w:rFonts w:asciiTheme="minorHAnsi" w:eastAsia="Times New Roman" w:hAnsiTheme="minorHAnsi" w:cstheme="minorHAnsi"/>
                          <w:bCs/>
                          <w:smallCaps/>
                          <w:color w:val="808080" w:themeColor="background1" w:themeShade="80"/>
                          <w:sz w:val="60"/>
                          <w:szCs w:val="60"/>
                          <w:lang w:eastAsia="cs-CZ"/>
                        </w:rPr>
                        <w:br/>
                      </w:r>
                    </w:p>
                    <w:p w14:paraId="58EF8106" w14:textId="73059354" w:rsidR="00EE428C" w:rsidRPr="00706D95" w:rsidRDefault="00EE428C" w:rsidP="006D7B98">
                      <w:pPr>
                        <w:pStyle w:val="Nzev"/>
                        <w:rPr>
                          <w:rFonts w:asciiTheme="minorHAnsi" w:eastAsia="Times New Roman" w:hAnsiTheme="minorHAnsi" w:cstheme="minorHAnsi"/>
                          <w:bCs/>
                          <w:smallCaps/>
                          <w:color w:val="808080" w:themeColor="background1" w:themeShade="80"/>
                          <w:sz w:val="48"/>
                          <w:szCs w:val="48"/>
                          <w:lang w:eastAsia="cs-CZ"/>
                        </w:rPr>
                      </w:pPr>
                    </w:p>
                  </w:txbxContent>
                </v:textbox>
                <w10:wrap type="square" anchorx="margin"/>
              </v:shape>
            </w:pict>
          </mc:Fallback>
        </mc:AlternateContent>
      </w:r>
      <w:r w:rsidR="00F13CAE">
        <w:rPr>
          <w:noProof/>
          <w:lang w:eastAsia="cs-CZ"/>
        </w:rPr>
        <mc:AlternateContent>
          <mc:Choice Requires="wps">
            <w:drawing>
              <wp:anchor distT="45720" distB="45720" distL="114300" distR="114300" simplePos="0" relativeHeight="251658241" behindDoc="0" locked="0" layoutInCell="1" allowOverlap="1" wp14:anchorId="40BBD5FC" wp14:editId="46537218">
                <wp:simplePos x="0" y="0"/>
                <wp:positionH relativeFrom="margin">
                  <wp:posOffset>-403860</wp:posOffset>
                </wp:positionH>
                <wp:positionV relativeFrom="paragraph">
                  <wp:posOffset>8477265</wp:posOffset>
                </wp:positionV>
                <wp:extent cx="7027958" cy="1448021"/>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958" cy="1448021"/>
                        </a:xfrm>
                        <a:prstGeom prst="rect">
                          <a:avLst/>
                        </a:prstGeom>
                        <a:noFill/>
                        <a:ln w="9525">
                          <a:noFill/>
                          <a:miter lim="800000"/>
                          <a:headEnd/>
                          <a:tailEnd/>
                        </a:ln>
                      </wps:spPr>
                      <wps:txbx>
                        <w:txbxContent>
                          <w:p w14:paraId="3F6972C4" w14:textId="176818B4" w:rsidR="00EE428C" w:rsidRDefault="006B72A3" w:rsidP="009229F2">
                            <w:pPr>
                              <w:rPr>
                                <w:rFonts w:cstheme="minorHAnsi"/>
                                <w:color w:val="808080" w:themeColor="background1" w:themeShade="80"/>
                                <w:sz w:val="28"/>
                                <w:szCs w:val="28"/>
                              </w:rPr>
                            </w:pPr>
                            <w:r>
                              <w:rPr>
                                <w:rFonts w:cstheme="minorHAnsi"/>
                                <w:color w:val="808080" w:themeColor="background1" w:themeShade="80"/>
                                <w:sz w:val="28"/>
                                <w:szCs w:val="28"/>
                              </w:rPr>
                              <w:t xml:space="preserve">Sekce vzdělávání a mládeže, </w:t>
                            </w:r>
                            <w:r w:rsidR="00F13CAE">
                              <w:rPr>
                                <w:rFonts w:cstheme="minorHAnsi"/>
                                <w:color w:val="808080" w:themeColor="background1" w:themeShade="80"/>
                                <w:sz w:val="28"/>
                                <w:szCs w:val="28"/>
                              </w:rPr>
                              <w:t>Oddělení strategií</w:t>
                            </w:r>
                            <w:r w:rsidR="00EE428C" w:rsidRPr="00843C5C">
                              <w:rPr>
                                <w:rFonts w:cstheme="minorHAnsi"/>
                                <w:color w:val="808080" w:themeColor="background1" w:themeShade="80"/>
                                <w:sz w:val="28"/>
                                <w:szCs w:val="28"/>
                              </w:rPr>
                              <w:t xml:space="preserve">, </w:t>
                            </w:r>
                            <w:r w:rsidR="00F13CAE">
                              <w:rPr>
                                <w:rFonts w:cstheme="minorHAnsi"/>
                                <w:color w:val="808080" w:themeColor="background1" w:themeShade="80"/>
                                <w:sz w:val="28"/>
                                <w:szCs w:val="28"/>
                              </w:rPr>
                              <w:t>říjen</w:t>
                            </w:r>
                            <w:r w:rsidR="006D7B98">
                              <w:rPr>
                                <w:rFonts w:cstheme="minorHAnsi"/>
                                <w:color w:val="808080" w:themeColor="background1" w:themeShade="80"/>
                                <w:sz w:val="28"/>
                                <w:szCs w:val="28"/>
                              </w:rPr>
                              <w:t xml:space="preserve"> </w:t>
                            </w:r>
                            <w:r w:rsidR="00EE428C" w:rsidRPr="00843C5C">
                              <w:rPr>
                                <w:rFonts w:cstheme="minorHAnsi"/>
                                <w:color w:val="808080" w:themeColor="background1" w:themeShade="80"/>
                                <w:sz w:val="28"/>
                                <w:szCs w:val="28"/>
                              </w:rPr>
                              <w:t>202</w:t>
                            </w:r>
                            <w:r w:rsidR="00957533">
                              <w:rPr>
                                <w:rFonts w:cstheme="minorHAnsi"/>
                                <w:color w:val="808080" w:themeColor="background1" w:themeShade="80"/>
                                <w:sz w:val="28"/>
                                <w:szCs w:val="28"/>
                              </w:rPr>
                              <w:t>5</w:t>
                            </w:r>
                          </w:p>
                          <w:p w14:paraId="38D007D1" w14:textId="12964584" w:rsidR="00F13CAE" w:rsidRPr="00843C5C" w:rsidRDefault="00F13CAE" w:rsidP="009229F2">
                            <w:pPr>
                              <w:rPr>
                                <w:rFonts w:cstheme="minorHAnsi"/>
                                <w:color w:val="808080" w:themeColor="background1" w:themeShade="8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BD5FC" id="_x0000_s1027" type="#_x0000_t202" style="position:absolute;margin-left:-31.8pt;margin-top:667.5pt;width:553.4pt;height:11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" filled="f" stroked="f">
                <v:textbox>
                  <w:txbxContent>
                    <w:p w14:paraId="3F6972C4" w14:textId="176818B4" w:rsidR="00EE428C" w:rsidRDefault="006B72A3" w:rsidP="009229F2">
                      <w:pPr>
                        <w:rPr>
                          <w:rFonts w:cstheme="minorHAnsi"/>
                          <w:color w:val="808080" w:themeColor="background1" w:themeShade="80"/>
                          <w:sz w:val="28"/>
                          <w:szCs w:val="28"/>
                        </w:rPr>
                      </w:pPr>
                      <w:r>
                        <w:rPr>
                          <w:rFonts w:cstheme="minorHAnsi"/>
                          <w:color w:val="808080" w:themeColor="background1" w:themeShade="80"/>
                          <w:sz w:val="28"/>
                          <w:szCs w:val="28"/>
                        </w:rPr>
                        <w:t xml:space="preserve">Sekce vzdělávání a mládeže, </w:t>
                      </w:r>
                      <w:r w:rsidR="00F13CAE">
                        <w:rPr>
                          <w:rFonts w:cstheme="minorHAnsi"/>
                          <w:color w:val="808080" w:themeColor="background1" w:themeShade="80"/>
                          <w:sz w:val="28"/>
                          <w:szCs w:val="28"/>
                        </w:rPr>
                        <w:t>Oddělení strategií</w:t>
                      </w:r>
                      <w:r w:rsidR="00EE428C" w:rsidRPr="00843C5C">
                        <w:rPr>
                          <w:rFonts w:cstheme="minorHAnsi"/>
                          <w:color w:val="808080" w:themeColor="background1" w:themeShade="80"/>
                          <w:sz w:val="28"/>
                          <w:szCs w:val="28"/>
                        </w:rPr>
                        <w:t xml:space="preserve">, </w:t>
                      </w:r>
                      <w:r w:rsidR="00F13CAE">
                        <w:rPr>
                          <w:rFonts w:cstheme="minorHAnsi"/>
                          <w:color w:val="808080" w:themeColor="background1" w:themeShade="80"/>
                          <w:sz w:val="28"/>
                          <w:szCs w:val="28"/>
                        </w:rPr>
                        <w:t>říjen</w:t>
                      </w:r>
                      <w:r w:rsidR="006D7B98">
                        <w:rPr>
                          <w:rFonts w:cstheme="minorHAnsi"/>
                          <w:color w:val="808080" w:themeColor="background1" w:themeShade="80"/>
                          <w:sz w:val="28"/>
                          <w:szCs w:val="28"/>
                        </w:rPr>
                        <w:t xml:space="preserve"> </w:t>
                      </w:r>
                      <w:r w:rsidR="00EE428C" w:rsidRPr="00843C5C">
                        <w:rPr>
                          <w:rFonts w:cstheme="minorHAnsi"/>
                          <w:color w:val="808080" w:themeColor="background1" w:themeShade="80"/>
                          <w:sz w:val="28"/>
                          <w:szCs w:val="28"/>
                        </w:rPr>
                        <w:t>202</w:t>
                      </w:r>
                      <w:r w:rsidR="00957533">
                        <w:rPr>
                          <w:rFonts w:cstheme="minorHAnsi"/>
                          <w:color w:val="808080" w:themeColor="background1" w:themeShade="80"/>
                          <w:sz w:val="28"/>
                          <w:szCs w:val="28"/>
                        </w:rPr>
                        <w:t>5</w:t>
                      </w:r>
                    </w:p>
                    <w:p w14:paraId="38D007D1" w14:textId="12964584" w:rsidR="00F13CAE" w:rsidRPr="00843C5C" w:rsidRDefault="00F13CAE" w:rsidP="009229F2">
                      <w:pPr>
                        <w:rPr>
                          <w:rFonts w:cstheme="minorHAnsi"/>
                          <w:color w:val="808080" w:themeColor="background1" w:themeShade="80"/>
                          <w:sz w:val="28"/>
                          <w:szCs w:val="28"/>
                        </w:rPr>
                      </w:pPr>
                    </w:p>
                  </w:txbxContent>
                </v:textbox>
                <w10:wrap anchorx="margin"/>
              </v:shape>
            </w:pict>
          </mc:Fallback>
        </mc:AlternateContent>
      </w:r>
      <w:sdt>
        <w:sdtPr>
          <w:id w:val="-705569322"/>
          <w:docPartObj>
            <w:docPartGallery w:val="Cover Pages"/>
            <w:docPartUnique/>
          </w:docPartObj>
        </w:sdtPr>
        <w:sdtContent>
          <w:r w:rsidR="001B2CA5" w:rsidRPr="00644795">
            <w:br w:type="page"/>
          </w:r>
        </w:sdtContent>
      </w:sdt>
    </w:p>
    <w:bookmarkStart w:id="0" w:name="_Toc67995523" w:displacedByCustomXml="next"/>
    <w:sdt>
      <w:sdtPr>
        <w:rPr>
          <w:rFonts w:eastAsiaTheme="minorEastAsia" w:cstheme="minorBidi"/>
          <w:b w:val="0"/>
          <w:caps w:val="0"/>
          <w:color w:val="auto"/>
          <w:sz w:val="22"/>
          <w:szCs w:val="22"/>
        </w:rPr>
        <w:id w:val="944962768"/>
        <w:docPartObj>
          <w:docPartGallery w:val="Table of Contents"/>
          <w:docPartUnique/>
        </w:docPartObj>
      </w:sdtPr>
      <w:sdtContent>
        <w:p w14:paraId="39B23A3D" w14:textId="436887AB" w:rsidR="004A2E44" w:rsidRDefault="004A2E44">
          <w:pPr>
            <w:pStyle w:val="Nadpisobsahu"/>
          </w:pPr>
          <w:r>
            <w:t>Obsah</w:t>
          </w:r>
        </w:p>
        <w:p w14:paraId="29065180" w14:textId="1CBC0209" w:rsidR="00BA21E8" w:rsidRDefault="000131B8">
          <w:pPr>
            <w:pStyle w:val="Obsah2"/>
            <w:tabs>
              <w:tab w:val="left" w:pos="440"/>
              <w:tab w:val="right" w:leader="dot" w:pos="9854"/>
            </w:tabs>
            <w:rPr>
              <w:rFonts w:asciiTheme="minorHAnsi" w:hAnsiTheme="minorHAnsi"/>
              <w:noProof/>
              <w:kern w:val="2"/>
              <w:sz w:val="24"/>
              <w:szCs w:val="24"/>
              <w:lang w:eastAsia="cs-CZ"/>
              <w14:ligatures w14:val="standardContextual"/>
            </w:rPr>
          </w:pPr>
          <w:r>
            <w:fldChar w:fldCharType="begin"/>
          </w:r>
          <w:r>
            <w:instrText xml:space="preserve"> TOC \o "1-3" \h \z \u </w:instrText>
          </w:r>
          <w:r>
            <w:fldChar w:fldCharType="separate"/>
          </w:r>
          <w:hyperlink w:anchor="_Toc212712707" w:history="1">
            <w:r w:rsidR="00BA21E8" w:rsidRPr="001E6386">
              <w:rPr>
                <w:rStyle w:val="Hypertextovodkaz"/>
                <w:noProof/>
              </w:rPr>
              <w:t>1.</w:t>
            </w:r>
            <w:r w:rsidR="00BA21E8">
              <w:rPr>
                <w:rFonts w:asciiTheme="minorHAnsi" w:hAnsiTheme="minorHAnsi"/>
                <w:noProof/>
                <w:kern w:val="2"/>
                <w:sz w:val="24"/>
                <w:szCs w:val="24"/>
                <w:lang w:eastAsia="cs-CZ"/>
                <w14:ligatures w14:val="standardContextual"/>
              </w:rPr>
              <w:tab/>
            </w:r>
            <w:r w:rsidR="00BA21E8" w:rsidRPr="001E6386">
              <w:rPr>
                <w:rStyle w:val="Hypertextovodkaz"/>
                <w:noProof/>
              </w:rPr>
              <w:t>Úvod</w:t>
            </w:r>
            <w:r w:rsidR="00BA21E8">
              <w:rPr>
                <w:noProof/>
                <w:webHidden/>
              </w:rPr>
              <w:tab/>
            </w:r>
            <w:r w:rsidR="00BA21E8">
              <w:rPr>
                <w:noProof/>
                <w:webHidden/>
              </w:rPr>
              <w:fldChar w:fldCharType="begin"/>
            </w:r>
            <w:r w:rsidR="00BA21E8">
              <w:rPr>
                <w:noProof/>
                <w:webHidden/>
              </w:rPr>
              <w:instrText xml:space="preserve"> PAGEREF _Toc212712707 \h </w:instrText>
            </w:r>
            <w:r w:rsidR="00BA21E8">
              <w:rPr>
                <w:noProof/>
                <w:webHidden/>
              </w:rPr>
            </w:r>
            <w:r w:rsidR="00BA21E8">
              <w:rPr>
                <w:noProof/>
                <w:webHidden/>
              </w:rPr>
              <w:fldChar w:fldCharType="separate"/>
            </w:r>
            <w:r w:rsidR="00BA21E8">
              <w:rPr>
                <w:noProof/>
                <w:webHidden/>
              </w:rPr>
              <w:t>2</w:t>
            </w:r>
            <w:r w:rsidR="00BA21E8">
              <w:rPr>
                <w:noProof/>
                <w:webHidden/>
              </w:rPr>
              <w:fldChar w:fldCharType="end"/>
            </w:r>
          </w:hyperlink>
        </w:p>
        <w:p w14:paraId="727154F8" w14:textId="61C70C2D" w:rsidR="00BA21E8" w:rsidRDefault="00BA21E8">
          <w:pPr>
            <w:pStyle w:val="Obsah2"/>
            <w:tabs>
              <w:tab w:val="left" w:pos="440"/>
              <w:tab w:val="right" w:leader="dot" w:pos="9854"/>
            </w:tabs>
            <w:rPr>
              <w:rFonts w:asciiTheme="minorHAnsi" w:hAnsiTheme="minorHAnsi"/>
              <w:noProof/>
              <w:kern w:val="2"/>
              <w:sz w:val="24"/>
              <w:szCs w:val="24"/>
              <w:lang w:eastAsia="cs-CZ"/>
              <w14:ligatures w14:val="standardContextual"/>
            </w:rPr>
          </w:pPr>
          <w:hyperlink w:anchor="_Toc212712708" w:history="1">
            <w:r w:rsidRPr="001E6386">
              <w:rPr>
                <w:rStyle w:val="Hypertextovodkaz"/>
                <w:noProof/>
              </w:rPr>
              <w:t>2.</w:t>
            </w:r>
            <w:r>
              <w:rPr>
                <w:rFonts w:asciiTheme="minorHAnsi" w:hAnsiTheme="minorHAnsi"/>
                <w:noProof/>
                <w:kern w:val="2"/>
                <w:sz w:val="24"/>
                <w:szCs w:val="24"/>
                <w:lang w:eastAsia="cs-CZ"/>
                <w14:ligatures w14:val="standardContextual"/>
              </w:rPr>
              <w:tab/>
            </w:r>
            <w:r w:rsidRPr="001E6386">
              <w:rPr>
                <w:rStyle w:val="Hypertextovodkaz"/>
                <w:noProof/>
              </w:rPr>
              <w:t>Shrnutí hlavních zjištění</w:t>
            </w:r>
            <w:r>
              <w:rPr>
                <w:noProof/>
                <w:webHidden/>
              </w:rPr>
              <w:tab/>
            </w:r>
            <w:r>
              <w:rPr>
                <w:noProof/>
                <w:webHidden/>
              </w:rPr>
              <w:fldChar w:fldCharType="begin"/>
            </w:r>
            <w:r>
              <w:rPr>
                <w:noProof/>
                <w:webHidden/>
              </w:rPr>
              <w:instrText xml:space="preserve"> PAGEREF _Toc212712708 \h </w:instrText>
            </w:r>
            <w:r>
              <w:rPr>
                <w:noProof/>
                <w:webHidden/>
              </w:rPr>
            </w:r>
            <w:r>
              <w:rPr>
                <w:noProof/>
                <w:webHidden/>
              </w:rPr>
              <w:fldChar w:fldCharType="separate"/>
            </w:r>
            <w:r>
              <w:rPr>
                <w:noProof/>
                <w:webHidden/>
              </w:rPr>
              <w:t>3</w:t>
            </w:r>
            <w:r>
              <w:rPr>
                <w:noProof/>
                <w:webHidden/>
              </w:rPr>
              <w:fldChar w:fldCharType="end"/>
            </w:r>
          </w:hyperlink>
        </w:p>
        <w:p w14:paraId="00D59426" w14:textId="08A712F0" w:rsidR="00BA21E8" w:rsidRDefault="00BA21E8">
          <w:pPr>
            <w:pStyle w:val="Obsah2"/>
            <w:tabs>
              <w:tab w:val="right" w:leader="dot" w:pos="9854"/>
            </w:tabs>
            <w:rPr>
              <w:rFonts w:asciiTheme="minorHAnsi" w:hAnsiTheme="minorHAnsi"/>
              <w:noProof/>
              <w:kern w:val="2"/>
              <w:sz w:val="24"/>
              <w:szCs w:val="24"/>
              <w:lang w:eastAsia="cs-CZ"/>
              <w14:ligatures w14:val="standardContextual"/>
            </w:rPr>
          </w:pPr>
          <w:hyperlink w:anchor="_Toc212712709" w:history="1">
            <w:r w:rsidRPr="001E6386">
              <w:rPr>
                <w:rStyle w:val="Hypertextovodkaz"/>
                <w:noProof/>
              </w:rPr>
              <w:t>3. Aktuální změny dlouhodobých trendů</w:t>
            </w:r>
            <w:r>
              <w:rPr>
                <w:noProof/>
                <w:webHidden/>
              </w:rPr>
              <w:tab/>
            </w:r>
            <w:r>
              <w:rPr>
                <w:noProof/>
                <w:webHidden/>
              </w:rPr>
              <w:fldChar w:fldCharType="begin"/>
            </w:r>
            <w:r>
              <w:rPr>
                <w:noProof/>
                <w:webHidden/>
              </w:rPr>
              <w:instrText xml:space="preserve"> PAGEREF _Toc212712709 \h </w:instrText>
            </w:r>
            <w:r>
              <w:rPr>
                <w:noProof/>
                <w:webHidden/>
              </w:rPr>
            </w:r>
            <w:r>
              <w:rPr>
                <w:noProof/>
                <w:webHidden/>
              </w:rPr>
              <w:fldChar w:fldCharType="separate"/>
            </w:r>
            <w:r>
              <w:rPr>
                <w:noProof/>
                <w:webHidden/>
              </w:rPr>
              <w:t>4</w:t>
            </w:r>
            <w:r>
              <w:rPr>
                <w:noProof/>
                <w:webHidden/>
              </w:rPr>
              <w:fldChar w:fldCharType="end"/>
            </w:r>
          </w:hyperlink>
        </w:p>
        <w:p w14:paraId="1CA13891" w14:textId="47DA602B"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0" w:history="1">
            <w:r w:rsidRPr="001E6386">
              <w:rPr>
                <w:rStyle w:val="Hypertextovodkaz"/>
                <w:noProof/>
              </w:rPr>
              <w:t>Souhrn hlavních výsledků</w:t>
            </w:r>
            <w:r>
              <w:rPr>
                <w:noProof/>
                <w:webHidden/>
              </w:rPr>
              <w:tab/>
            </w:r>
            <w:r>
              <w:rPr>
                <w:noProof/>
                <w:webHidden/>
              </w:rPr>
              <w:fldChar w:fldCharType="begin"/>
            </w:r>
            <w:r>
              <w:rPr>
                <w:noProof/>
                <w:webHidden/>
              </w:rPr>
              <w:instrText xml:space="preserve"> PAGEREF _Toc212712710 \h </w:instrText>
            </w:r>
            <w:r>
              <w:rPr>
                <w:noProof/>
                <w:webHidden/>
              </w:rPr>
            </w:r>
            <w:r>
              <w:rPr>
                <w:noProof/>
                <w:webHidden/>
              </w:rPr>
              <w:fldChar w:fldCharType="separate"/>
            </w:r>
            <w:r>
              <w:rPr>
                <w:noProof/>
                <w:webHidden/>
              </w:rPr>
              <w:t>4</w:t>
            </w:r>
            <w:r>
              <w:rPr>
                <w:noProof/>
                <w:webHidden/>
              </w:rPr>
              <w:fldChar w:fldCharType="end"/>
            </w:r>
          </w:hyperlink>
        </w:p>
        <w:p w14:paraId="7003E672" w14:textId="13640ADA"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1" w:history="1">
            <w:r w:rsidRPr="001E6386">
              <w:rPr>
                <w:rStyle w:val="Hypertextovodkaz"/>
                <w:noProof/>
              </w:rPr>
              <w:t>Konkrétní zjištění podle dotčených tematických oblastí:</w:t>
            </w:r>
            <w:r>
              <w:rPr>
                <w:noProof/>
                <w:webHidden/>
              </w:rPr>
              <w:tab/>
            </w:r>
            <w:r>
              <w:rPr>
                <w:noProof/>
                <w:webHidden/>
              </w:rPr>
              <w:fldChar w:fldCharType="begin"/>
            </w:r>
            <w:r>
              <w:rPr>
                <w:noProof/>
                <w:webHidden/>
              </w:rPr>
              <w:instrText xml:space="preserve"> PAGEREF _Toc212712711 \h </w:instrText>
            </w:r>
            <w:r>
              <w:rPr>
                <w:noProof/>
                <w:webHidden/>
              </w:rPr>
            </w:r>
            <w:r>
              <w:rPr>
                <w:noProof/>
                <w:webHidden/>
              </w:rPr>
              <w:fldChar w:fldCharType="separate"/>
            </w:r>
            <w:r>
              <w:rPr>
                <w:noProof/>
                <w:webHidden/>
              </w:rPr>
              <w:t>5</w:t>
            </w:r>
            <w:r>
              <w:rPr>
                <w:noProof/>
                <w:webHidden/>
              </w:rPr>
              <w:fldChar w:fldCharType="end"/>
            </w:r>
          </w:hyperlink>
        </w:p>
        <w:p w14:paraId="60AC8B9A" w14:textId="405E6559" w:rsidR="00BA21E8" w:rsidRDefault="00BA21E8">
          <w:pPr>
            <w:pStyle w:val="Obsah2"/>
            <w:tabs>
              <w:tab w:val="right" w:leader="dot" w:pos="9854"/>
            </w:tabs>
            <w:rPr>
              <w:rFonts w:asciiTheme="minorHAnsi" w:hAnsiTheme="minorHAnsi"/>
              <w:noProof/>
              <w:kern w:val="2"/>
              <w:sz w:val="24"/>
              <w:szCs w:val="24"/>
              <w:lang w:eastAsia="cs-CZ"/>
              <w14:ligatures w14:val="standardContextual"/>
            </w:rPr>
          </w:pPr>
          <w:hyperlink w:anchor="_Toc212712712" w:history="1">
            <w:r w:rsidRPr="001E6386">
              <w:rPr>
                <w:rStyle w:val="Hypertextovodkaz"/>
                <w:noProof/>
              </w:rPr>
              <w:t>4. Covidové výkyvy a jejich konsolidace</w:t>
            </w:r>
            <w:r>
              <w:rPr>
                <w:noProof/>
                <w:webHidden/>
              </w:rPr>
              <w:tab/>
            </w:r>
            <w:r>
              <w:rPr>
                <w:noProof/>
                <w:webHidden/>
              </w:rPr>
              <w:fldChar w:fldCharType="begin"/>
            </w:r>
            <w:r>
              <w:rPr>
                <w:noProof/>
                <w:webHidden/>
              </w:rPr>
              <w:instrText xml:space="preserve"> PAGEREF _Toc212712712 \h </w:instrText>
            </w:r>
            <w:r>
              <w:rPr>
                <w:noProof/>
                <w:webHidden/>
              </w:rPr>
            </w:r>
            <w:r>
              <w:rPr>
                <w:noProof/>
                <w:webHidden/>
              </w:rPr>
              <w:fldChar w:fldCharType="separate"/>
            </w:r>
            <w:r>
              <w:rPr>
                <w:noProof/>
                <w:webHidden/>
              </w:rPr>
              <w:t>10</w:t>
            </w:r>
            <w:r>
              <w:rPr>
                <w:noProof/>
                <w:webHidden/>
              </w:rPr>
              <w:fldChar w:fldCharType="end"/>
            </w:r>
          </w:hyperlink>
        </w:p>
        <w:p w14:paraId="56746FA1" w14:textId="6C14B823"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3" w:history="1">
            <w:r w:rsidRPr="001E6386">
              <w:rPr>
                <w:rStyle w:val="Hypertextovodkaz"/>
                <w:noProof/>
              </w:rPr>
              <w:t>Souhrn hlavních výsledků</w:t>
            </w:r>
            <w:r>
              <w:rPr>
                <w:noProof/>
                <w:webHidden/>
              </w:rPr>
              <w:tab/>
            </w:r>
            <w:r>
              <w:rPr>
                <w:noProof/>
                <w:webHidden/>
              </w:rPr>
              <w:fldChar w:fldCharType="begin"/>
            </w:r>
            <w:r>
              <w:rPr>
                <w:noProof/>
                <w:webHidden/>
              </w:rPr>
              <w:instrText xml:space="preserve"> PAGEREF _Toc212712713 \h </w:instrText>
            </w:r>
            <w:r>
              <w:rPr>
                <w:noProof/>
                <w:webHidden/>
              </w:rPr>
            </w:r>
            <w:r>
              <w:rPr>
                <w:noProof/>
                <w:webHidden/>
              </w:rPr>
              <w:fldChar w:fldCharType="separate"/>
            </w:r>
            <w:r>
              <w:rPr>
                <w:noProof/>
                <w:webHidden/>
              </w:rPr>
              <w:t>10</w:t>
            </w:r>
            <w:r>
              <w:rPr>
                <w:noProof/>
                <w:webHidden/>
              </w:rPr>
              <w:fldChar w:fldCharType="end"/>
            </w:r>
          </w:hyperlink>
        </w:p>
        <w:p w14:paraId="4BEB67C7" w14:textId="13D3CFF2"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4" w:history="1">
            <w:r w:rsidRPr="001E6386">
              <w:rPr>
                <w:rStyle w:val="Hypertextovodkaz"/>
                <w:noProof/>
              </w:rPr>
              <w:t>Konkrétní zjištění podle dotčených tematických oblastí:</w:t>
            </w:r>
            <w:r>
              <w:rPr>
                <w:noProof/>
                <w:webHidden/>
              </w:rPr>
              <w:tab/>
            </w:r>
            <w:r>
              <w:rPr>
                <w:noProof/>
                <w:webHidden/>
              </w:rPr>
              <w:fldChar w:fldCharType="begin"/>
            </w:r>
            <w:r>
              <w:rPr>
                <w:noProof/>
                <w:webHidden/>
              </w:rPr>
              <w:instrText xml:space="preserve"> PAGEREF _Toc212712714 \h </w:instrText>
            </w:r>
            <w:r>
              <w:rPr>
                <w:noProof/>
                <w:webHidden/>
              </w:rPr>
            </w:r>
            <w:r>
              <w:rPr>
                <w:noProof/>
                <w:webHidden/>
              </w:rPr>
              <w:fldChar w:fldCharType="separate"/>
            </w:r>
            <w:r>
              <w:rPr>
                <w:noProof/>
                <w:webHidden/>
              </w:rPr>
              <w:t>11</w:t>
            </w:r>
            <w:r>
              <w:rPr>
                <w:noProof/>
                <w:webHidden/>
              </w:rPr>
              <w:fldChar w:fldCharType="end"/>
            </w:r>
          </w:hyperlink>
        </w:p>
        <w:p w14:paraId="20F9138A" w14:textId="22095781" w:rsidR="00BA21E8" w:rsidRDefault="00BA21E8">
          <w:pPr>
            <w:pStyle w:val="Obsah2"/>
            <w:tabs>
              <w:tab w:val="right" w:leader="dot" w:pos="9854"/>
            </w:tabs>
            <w:rPr>
              <w:rFonts w:asciiTheme="minorHAnsi" w:hAnsiTheme="minorHAnsi"/>
              <w:noProof/>
              <w:kern w:val="2"/>
              <w:sz w:val="24"/>
              <w:szCs w:val="24"/>
              <w:lang w:eastAsia="cs-CZ"/>
              <w14:ligatures w14:val="standardContextual"/>
            </w:rPr>
          </w:pPr>
          <w:hyperlink w:anchor="_Toc212712715" w:history="1">
            <w:r w:rsidRPr="001E6386">
              <w:rPr>
                <w:rStyle w:val="Hypertextovodkaz"/>
                <w:noProof/>
              </w:rPr>
              <w:t>5. Charakteristiky krajů</w:t>
            </w:r>
            <w:r>
              <w:rPr>
                <w:noProof/>
                <w:webHidden/>
              </w:rPr>
              <w:tab/>
            </w:r>
            <w:r>
              <w:rPr>
                <w:noProof/>
                <w:webHidden/>
              </w:rPr>
              <w:fldChar w:fldCharType="begin"/>
            </w:r>
            <w:r>
              <w:rPr>
                <w:noProof/>
                <w:webHidden/>
              </w:rPr>
              <w:instrText xml:space="preserve"> PAGEREF _Toc212712715 \h </w:instrText>
            </w:r>
            <w:r>
              <w:rPr>
                <w:noProof/>
                <w:webHidden/>
              </w:rPr>
            </w:r>
            <w:r>
              <w:rPr>
                <w:noProof/>
                <w:webHidden/>
              </w:rPr>
              <w:fldChar w:fldCharType="separate"/>
            </w:r>
            <w:r>
              <w:rPr>
                <w:noProof/>
                <w:webHidden/>
              </w:rPr>
              <w:t>13</w:t>
            </w:r>
            <w:r>
              <w:rPr>
                <w:noProof/>
                <w:webHidden/>
              </w:rPr>
              <w:fldChar w:fldCharType="end"/>
            </w:r>
          </w:hyperlink>
        </w:p>
        <w:p w14:paraId="0E6F4B3C" w14:textId="3FBF03CB"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6" w:history="1">
            <w:r w:rsidRPr="001E6386">
              <w:rPr>
                <w:rStyle w:val="Hypertextovodkaz"/>
                <w:noProof/>
              </w:rPr>
              <w:t>Souhrn hlavních výsledků</w:t>
            </w:r>
            <w:r>
              <w:rPr>
                <w:noProof/>
                <w:webHidden/>
              </w:rPr>
              <w:tab/>
            </w:r>
            <w:r>
              <w:rPr>
                <w:noProof/>
                <w:webHidden/>
              </w:rPr>
              <w:fldChar w:fldCharType="begin"/>
            </w:r>
            <w:r>
              <w:rPr>
                <w:noProof/>
                <w:webHidden/>
              </w:rPr>
              <w:instrText xml:space="preserve"> PAGEREF _Toc212712716 \h </w:instrText>
            </w:r>
            <w:r>
              <w:rPr>
                <w:noProof/>
                <w:webHidden/>
              </w:rPr>
            </w:r>
            <w:r>
              <w:rPr>
                <w:noProof/>
                <w:webHidden/>
              </w:rPr>
              <w:fldChar w:fldCharType="separate"/>
            </w:r>
            <w:r>
              <w:rPr>
                <w:noProof/>
                <w:webHidden/>
              </w:rPr>
              <w:t>13</w:t>
            </w:r>
            <w:r>
              <w:rPr>
                <w:noProof/>
                <w:webHidden/>
              </w:rPr>
              <w:fldChar w:fldCharType="end"/>
            </w:r>
          </w:hyperlink>
        </w:p>
        <w:p w14:paraId="5EA5F5D1" w14:textId="350A7B03"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7" w:history="1">
            <w:r w:rsidRPr="001E6386">
              <w:rPr>
                <w:rStyle w:val="Hypertextovodkaz"/>
                <w:noProof/>
              </w:rPr>
              <w:t>Shrnutí charakteristik jednotlivých krajů</w:t>
            </w:r>
            <w:r>
              <w:rPr>
                <w:noProof/>
                <w:webHidden/>
              </w:rPr>
              <w:tab/>
            </w:r>
            <w:r>
              <w:rPr>
                <w:noProof/>
                <w:webHidden/>
              </w:rPr>
              <w:fldChar w:fldCharType="begin"/>
            </w:r>
            <w:r>
              <w:rPr>
                <w:noProof/>
                <w:webHidden/>
              </w:rPr>
              <w:instrText xml:space="preserve"> PAGEREF _Toc212712717 \h </w:instrText>
            </w:r>
            <w:r>
              <w:rPr>
                <w:noProof/>
                <w:webHidden/>
              </w:rPr>
            </w:r>
            <w:r>
              <w:rPr>
                <w:noProof/>
                <w:webHidden/>
              </w:rPr>
              <w:fldChar w:fldCharType="separate"/>
            </w:r>
            <w:r>
              <w:rPr>
                <w:noProof/>
                <w:webHidden/>
              </w:rPr>
              <w:t>14</w:t>
            </w:r>
            <w:r>
              <w:rPr>
                <w:noProof/>
                <w:webHidden/>
              </w:rPr>
              <w:fldChar w:fldCharType="end"/>
            </w:r>
          </w:hyperlink>
        </w:p>
        <w:p w14:paraId="1FD43589" w14:textId="0B9C5613" w:rsidR="00BA21E8" w:rsidRDefault="00BA21E8">
          <w:pPr>
            <w:pStyle w:val="Obsah3"/>
            <w:tabs>
              <w:tab w:val="right" w:leader="dot" w:pos="9854"/>
            </w:tabs>
            <w:rPr>
              <w:rFonts w:asciiTheme="minorHAnsi" w:eastAsiaTheme="minorEastAsia" w:hAnsiTheme="minorHAnsi"/>
              <w:noProof/>
              <w:kern w:val="2"/>
              <w:sz w:val="24"/>
              <w:szCs w:val="24"/>
              <w:lang w:eastAsia="cs-CZ"/>
              <w14:ligatures w14:val="standardContextual"/>
            </w:rPr>
          </w:pPr>
          <w:hyperlink w:anchor="_Toc212712718" w:history="1">
            <w:r w:rsidRPr="001E6386">
              <w:rPr>
                <w:rStyle w:val="Hypertextovodkaz"/>
                <w:noProof/>
              </w:rPr>
              <w:t>Charakteristiky krajů – tabulková část</w:t>
            </w:r>
            <w:r>
              <w:rPr>
                <w:noProof/>
                <w:webHidden/>
              </w:rPr>
              <w:tab/>
            </w:r>
            <w:r>
              <w:rPr>
                <w:noProof/>
                <w:webHidden/>
              </w:rPr>
              <w:fldChar w:fldCharType="begin"/>
            </w:r>
            <w:r>
              <w:rPr>
                <w:noProof/>
                <w:webHidden/>
              </w:rPr>
              <w:instrText xml:space="preserve"> PAGEREF _Toc212712718 \h </w:instrText>
            </w:r>
            <w:r>
              <w:rPr>
                <w:noProof/>
                <w:webHidden/>
              </w:rPr>
            </w:r>
            <w:r>
              <w:rPr>
                <w:noProof/>
                <w:webHidden/>
              </w:rPr>
              <w:fldChar w:fldCharType="separate"/>
            </w:r>
            <w:r>
              <w:rPr>
                <w:noProof/>
                <w:webHidden/>
              </w:rPr>
              <w:t>18</w:t>
            </w:r>
            <w:r>
              <w:rPr>
                <w:noProof/>
                <w:webHidden/>
              </w:rPr>
              <w:fldChar w:fldCharType="end"/>
            </w:r>
          </w:hyperlink>
        </w:p>
        <w:p w14:paraId="27E385A4" w14:textId="2B167DBF" w:rsidR="009E4DB3" w:rsidRPr="0035792A" w:rsidRDefault="000131B8" w:rsidP="0035792A">
          <w:r>
            <w:rPr>
              <w:b/>
              <w:bCs/>
            </w:rPr>
            <w:fldChar w:fldCharType="end"/>
          </w:r>
        </w:p>
      </w:sdtContent>
    </w:sdt>
    <w:p w14:paraId="3C3D4310" w14:textId="77777777" w:rsidR="004A2E44" w:rsidRDefault="004A2E44">
      <w:pPr>
        <w:spacing w:line="276" w:lineRule="auto"/>
        <w:rPr>
          <w:rFonts w:eastAsiaTheme="majorEastAsia" w:cstheme="majorBidi"/>
          <w:b/>
          <w:color w:val="4C4C4C"/>
          <w:sz w:val="24"/>
          <w:szCs w:val="23"/>
        </w:rPr>
      </w:pPr>
      <w:r>
        <w:br w:type="page"/>
      </w:r>
    </w:p>
    <w:p w14:paraId="1DB07058" w14:textId="488E5512" w:rsidR="006D7B98" w:rsidRPr="00CA5BD0" w:rsidRDefault="006D7B98" w:rsidP="00DD0748">
      <w:pPr>
        <w:pStyle w:val="Nadpis2"/>
        <w:numPr>
          <w:ilvl w:val="0"/>
          <w:numId w:val="5"/>
        </w:numPr>
      </w:pPr>
      <w:bookmarkStart w:id="1" w:name="_Toc212712707"/>
      <w:r w:rsidRPr="009E4DB3">
        <w:lastRenderedPageBreak/>
        <w:t>Úvod</w:t>
      </w:r>
      <w:bookmarkEnd w:id="1"/>
      <w:r w:rsidRPr="00CA5BD0">
        <w:t xml:space="preserve"> </w:t>
      </w:r>
    </w:p>
    <w:p w14:paraId="631AA6D2" w14:textId="265CA5BC" w:rsidR="00F3654D" w:rsidRDefault="00F3654D" w:rsidP="00CB1233">
      <w:pPr>
        <w:spacing w:line="264" w:lineRule="auto"/>
        <w:jc w:val="both"/>
        <w:rPr>
          <w:szCs w:val="22"/>
        </w:rPr>
      </w:pPr>
      <w:r w:rsidRPr="00F3654D">
        <w:rPr>
          <w:szCs w:val="22"/>
        </w:rPr>
        <w:t xml:space="preserve">Tento dokument představuje výsledky </w:t>
      </w:r>
      <w:r w:rsidR="00C534B9">
        <w:rPr>
          <w:szCs w:val="22"/>
        </w:rPr>
        <w:t xml:space="preserve">pravidelného </w:t>
      </w:r>
      <w:r w:rsidRPr="00F3654D">
        <w:rPr>
          <w:szCs w:val="22"/>
        </w:rPr>
        <w:t xml:space="preserve">hodnocení </w:t>
      </w:r>
      <w:r w:rsidRPr="00F3654D">
        <w:rPr>
          <w:i/>
          <w:iCs/>
          <w:szCs w:val="22"/>
        </w:rPr>
        <w:t>Monitorovacího rámce stavu a vývoje vzdělávací soustavy České republiky</w:t>
      </w:r>
      <w:r w:rsidR="00935411">
        <w:rPr>
          <w:szCs w:val="22"/>
        </w:rPr>
        <w:t>, provedeného na základě údajů dostupných k 31.8.2025</w:t>
      </w:r>
      <w:r w:rsidRPr="00F3654D">
        <w:rPr>
          <w:szCs w:val="22"/>
        </w:rPr>
        <w:t xml:space="preserve">. </w:t>
      </w:r>
    </w:p>
    <w:p w14:paraId="3F9C04CB" w14:textId="77777777" w:rsidR="00F3654D" w:rsidRPr="00F3654D" w:rsidRDefault="00F3654D" w:rsidP="00F3654D">
      <w:pPr>
        <w:spacing w:line="264" w:lineRule="auto"/>
        <w:jc w:val="both"/>
        <w:rPr>
          <w:szCs w:val="22"/>
        </w:rPr>
      </w:pPr>
      <w:r w:rsidRPr="00F3654D">
        <w:rPr>
          <w:szCs w:val="22"/>
        </w:rPr>
        <w:t xml:space="preserve">Monitorovací rámec je nástrojem Ministerstva školství, mládeže a tělovýchovy pro sledování naplňování cílů </w:t>
      </w:r>
      <w:r w:rsidRPr="00F3654D">
        <w:rPr>
          <w:i/>
          <w:iCs/>
          <w:szCs w:val="22"/>
        </w:rPr>
        <w:t>Strategie vzdělávací politiky ČR do roku 2030</w:t>
      </w:r>
      <w:r w:rsidRPr="00F3654D">
        <w:rPr>
          <w:szCs w:val="22"/>
        </w:rPr>
        <w:t xml:space="preserve">+ (dále jen </w:t>
      </w:r>
      <w:r w:rsidRPr="00F3654D">
        <w:rPr>
          <w:i/>
          <w:iCs/>
          <w:szCs w:val="22"/>
        </w:rPr>
        <w:t>Strategie 2030+).</w:t>
      </w:r>
      <w:r w:rsidRPr="00F3654D">
        <w:rPr>
          <w:szCs w:val="22"/>
        </w:rPr>
        <w:t xml:space="preserve"> Jeho prostřednictvím MŠMT pravidelně vyhodnocuje vývoj klíčových indikátorů ve všech hlavních oblastech vzdělávacího systému.</w:t>
      </w:r>
    </w:p>
    <w:p w14:paraId="5F70B41D" w14:textId="2B9CCB46" w:rsidR="00F3654D" w:rsidRPr="00F3654D" w:rsidRDefault="00F3654D" w:rsidP="00F3654D">
      <w:pPr>
        <w:spacing w:line="264" w:lineRule="auto"/>
        <w:jc w:val="both"/>
        <w:rPr>
          <w:szCs w:val="22"/>
        </w:rPr>
      </w:pPr>
      <w:r w:rsidRPr="00F3654D">
        <w:rPr>
          <w:szCs w:val="22"/>
        </w:rPr>
        <w:t>Soubor indikátorů byl vytvořen v roce 2021 a každoročně prochází aktualizací. Slouží jako základní nástroj zpětné vazby pro hodnocení plnění strategických cílů a implementaci systémových opatření.</w:t>
      </w:r>
    </w:p>
    <w:p w14:paraId="69C2AAC1" w14:textId="74251B26" w:rsidR="00F3654D" w:rsidRDefault="00F3654D" w:rsidP="00F3654D">
      <w:pPr>
        <w:spacing w:line="264" w:lineRule="auto"/>
        <w:jc w:val="both"/>
        <w:rPr>
          <w:szCs w:val="22"/>
        </w:rPr>
      </w:pPr>
      <w:r w:rsidRPr="00F3654D">
        <w:rPr>
          <w:szCs w:val="22"/>
        </w:rPr>
        <w:t>V roce 2025 byly všechny indikátory aktualizovány o nejnovější dostupná data, doplněny časové řady a</w:t>
      </w:r>
      <w:r w:rsidR="00135143">
        <w:rPr>
          <w:szCs w:val="22"/>
        </w:rPr>
        <w:t> </w:t>
      </w:r>
      <w:r w:rsidRPr="00F3654D">
        <w:rPr>
          <w:szCs w:val="22"/>
        </w:rPr>
        <w:t xml:space="preserve">provedeny dílčí metodické úpravy. Některé ukazatele byly z rámce vyřazeny pro nadbytečnost či neporovnatelnost, jiné byly naopak doplněny na základě nových datových zdrojů nebo aktuálních analytických potřeb. Kompletní přehled změn obsahuje příloha č. 1 – </w:t>
      </w:r>
      <w:r w:rsidR="00D377FA">
        <w:rPr>
          <w:szCs w:val="22"/>
        </w:rPr>
        <w:t xml:space="preserve">list </w:t>
      </w:r>
      <w:r w:rsidRPr="00F3654D">
        <w:rPr>
          <w:i/>
          <w:iCs/>
          <w:szCs w:val="22"/>
        </w:rPr>
        <w:t>Doprovodné informace ukazatelů</w:t>
      </w:r>
      <w:r w:rsidRPr="00F3654D">
        <w:rPr>
          <w:szCs w:val="22"/>
        </w:rPr>
        <w:t>.</w:t>
      </w:r>
    </w:p>
    <w:p w14:paraId="1F0F29DC" w14:textId="77777777" w:rsidR="00F3654D" w:rsidRPr="00F3654D" w:rsidRDefault="00F3654D" w:rsidP="00F3654D">
      <w:pPr>
        <w:spacing w:line="264" w:lineRule="auto"/>
        <w:jc w:val="both"/>
        <w:rPr>
          <w:szCs w:val="22"/>
        </w:rPr>
      </w:pPr>
      <w:r w:rsidRPr="00F3654D">
        <w:rPr>
          <w:szCs w:val="22"/>
        </w:rPr>
        <w:t xml:space="preserve">Monitorovací rámec zahrnuje indikátory v následujících oblastech: </w:t>
      </w:r>
    </w:p>
    <w:p w14:paraId="6820C6DB" w14:textId="3BBEBAC0" w:rsidR="00AD69B1" w:rsidRPr="00F3654D" w:rsidRDefault="00AD69B1" w:rsidP="00DD0748">
      <w:pPr>
        <w:pStyle w:val="Odstavecseseznamem"/>
        <w:numPr>
          <w:ilvl w:val="0"/>
          <w:numId w:val="2"/>
        </w:numPr>
        <w:spacing w:line="264" w:lineRule="auto"/>
        <w:jc w:val="both"/>
        <w:rPr>
          <w:b/>
          <w:bCs/>
          <w:szCs w:val="22"/>
        </w:rPr>
      </w:pPr>
      <w:r w:rsidRPr="00F3654D">
        <w:rPr>
          <w:b/>
          <w:bCs/>
          <w:szCs w:val="22"/>
        </w:rPr>
        <w:t>Financování</w:t>
      </w:r>
    </w:p>
    <w:p w14:paraId="4C799DBE" w14:textId="77777777" w:rsidR="00AD69B1" w:rsidRPr="00F3654D" w:rsidRDefault="00AD69B1" w:rsidP="00DD0748">
      <w:pPr>
        <w:pStyle w:val="Odstavecseseznamem"/>
        <w:numPr>
          <w:ilvl w:val="0"/>
          <w:numId w:val="2"/>
        </w:numPr>
        <w:spacing w:line="264" w:lineRule="auto"/>
        <w:jc w:val="both"/>
        <w:rPr>
          <w:b/>
          <w:bCs/>
          <w:szCs w:val="22"/>
        </w:rPr>
      </w:pPr>
      <w:r w:rsidRPr="00F3654D">
        <w:rPr>
          <w:b/>
          <w:bCs/>
          <w:szCs w:val="22"/>
        </w:rPr>
        <w:t>Pracovníci ve školství</w:t>
      </w:r>
    </w:p>
    <w:p w14:paraId="70A56839" w14:textId="77777777" w:rsidR="00AD69B1" w:rsidRPr="00F3654D" w:rsidRDefault="00AD69B1" w:rsidP="00DD0748">
      <w:pPr>
        <w:pStyle w:val="Odstavecseseznamem"/>
        <w:numPr>
          <w:ilvl w:val="0"/>
          <w:numId w:val="2"/>
        </w:numPr>
        <w:spacing w:line="264" w:lineRule="auto"/>
        <w:jc w:val="both"/>
        <w:rPr>
          <w:b/>
          <w:bCs/>
          <w:szCs w:val="22"/>
        </w:rPr>
      </w:pPr>
      <w:r w:rsidRPr="00F3654D">
        <w:rPr>
          <w:b/>
          <w:bCs/>
          <w:szCs w:val="22"/>
        </w:rPr>
        <w:t>Školy a zřizovatelé</w:t>
      </w:r>
    </w:p>
    <w:p w14:paraId="149C499F" w14:textId="77777777" w:rsidR="00AD69B1" w:rsidRPr="00F3654D" w:rsidRDefault="00AD69B1" w:rsidP="00DD0748">
      <w:pPr>
        <w:pStyle w:val="Odstavecseseznamem"/>
        <w:numPr>
          <w:ilvl w:val="0"/>
          <w:numId w:val="2"/>
        </w:numPr>
        <w:spacing w:line="264" w:lineRule="auto"/>
        <w:jc w:val="both"/>
        <w:rPr>
          <w:b/>
          <w:bCs/>
          <w:szCs w:val="22"/>
        </w:rPr>
      </w:pPr>
      <w:r w:rsidRPr="00F3654D">
        <w:rPr>
          <w:b/>
          <w:bCs/>
          <w:szCs w:val="22"/>
        </w:rPr>
        <w:t>Účast na vzdělávání</w:t>
      </w:r>
    </w:p>
    <w:p w14:paraId="4AC1166D" w14:textId="77777777" w:rsidR="00AD69B1" w:rsidRPr="00F3654D" w:rsidRDefault="00AD69B1" w:rsidP="00DD0748">
      <w:pPr>
        <w:pStyle w:val="Odstavecseseznamem"/>
        <w:numPr>
          <w:ilvl w:val="0"/>
          <w:numId w:val="2"/>
        </w:numPr>
        <w:spacing w:line="264" w:lineRule="auto"/>
        <w:jc w:val="both"/>
        <w:rPr>
          <w:b/>
          <w:bCs/>
          <w:szCs w:val="22"/>
        </w:rPr>
      </w:pPr>
      <w:r w:rsidRPr="00F3654D">
        <w:rPr>
          <w:b/>
          <w:bCs/>
          <w:szCs w:val="22"/>
        </w:rPr>
        <w:t>Výsledky vzdělávání</w:t>
      </w:r>
    </w:p>
    <w:p w14:paraId="36CD7F03" w14:textId="385D1D92" w:rsidR="00AD69B1" w:rsidRPr="00F3654D" w:rsidRDefault="00AD69B1" w:rsidP="00DD0748">
      <w:pPr>
        <w:pStyle w:val="Odstavecseseznamem"/>
        <w:numPr>
          <w:ilvl w:val="0"/>
          <w:numId w:val="2"/>
        </w:numPr>
        <w:spacing w:line="264" w:lineRule="auto"/>
        <w:jc w:val="both"/>
        <w:rPr>
          <w:b/>
          <w:bCs/>
          <w:szCs w:val="22"/>
        </w:rPr>
      </w:pPr>
      <w:r w:rsidRPr="00F3654D">
        <w:rPr>
          <w:b/>
          <w:bCs/>
          <w:szCs w:val="22"/>
        </w:rPr>
        <w:t>Výuka</w:t>
      </w:r>
    </w:p>
    <w:p w14:paraId="4553DD18" w14:textId="77777777" w:rsidR="00D95076" w:rsidRPr="00F3654D" w:rsidRDefault="00D95076" w:rsidP="00DD0748">
      <w:pPr>
        <w:pStyle w:val="Odstavecseseznamem"/>
        <w:numPr>
          <w:ilvl w:val="0"/>
          <w:numId w:val="2"/>
        </w:numPr>
        <w:spacing w:line="264" w:lineRule="auto"/>
        <w:jc w:val="both"/>
        <w:rPr>
          <w:b/>
          <w:bCs/>
          <w:szCs w:val="22"/>
        </w:rPr>
      </w:pPr>
      <w:r w:rsidRPr="00F3654D">
        <w:rPr>
          <w:b/>
          <w:bCs/>
          <w:szCs w:val="22"/>
        </w:rPr>
        <w:t>Well-being</w:t>
      </w:r>
    </w:p>
    <w:p w14:paraId="2D7EB731" w14:textId="03C075BF" w:rsidR="00D95076" w:rsidRPr="00F3654D" w:rsidRDefault="00D95076" w:rsidP="00DD0748">
      <w:pPr>
        <w:pStyle w:val="Odstavecseseznamem"/>
        <w:numPr>
          <w:ilvl w:val="0"/>
          <w:numId w:val="2"/>
        </w:numPr>
        <w:spacing w:line="264" w:lineRule="auto"/>
        <w:jc w:val="both"/>
        <w:rPr>
          <w:b/>
          <w:bCs/>
          <w:szCs w:val="22"/>
        </w:rPr>
      </w:pPr>
      <w:r w:rsidRPr="00F3654D">
        <w:rPr>
          <w:b/>
          <w:bCs/>
          <w:szCs w:val="22"/>
        </w:rPr>
        <w:t>Nerovnosti</w:t>
      </w:r>
    </w:p>
    <w:p w14:paraId="4336872A" w14:textId="311BA988" w:rsidR="00F3654D" w:rsidRDefault="00F3654D" w:rsidP="00715E7A">
      <w:pPr>
        <w:spacing w:line="264" w:lineRule="auto"/>
        <w:jc w:val="both"/>
        <w:rPr>
          <w:szCs w:val="22"/>
        </w:rPr>
      </w:pPr>
      <w:r w:rsidRPr="00F3654D">
        <w:rPr>
          <w:szCs w:val="22"/>
        </w:rPr>
        <w:t xml:space="preserve">V roce 2024 byla analýza rámce poprvé zaměřena na identifikaci výrazných posunů v časových řadách a na indikátory s potenciálem zvyšovat mezikrajské rozdíly. Protože většina vzdělávacích trendů se vyvíjí pomalu, letošní hodnocení se soustředí především na sledování možných </w:t>
      </w:r>
      <w:r w:rsidRPr="00F3654D">
        <w:rPr>
          <w:b/>
          <w:bCs/>
          <w:szCs w:val="22"/>
        </w:rPr>
        <w:t>obratů v dlouhodobých trendech</w:t>
      </w:r>
      <w:r w:rsidRPr="00F3654D">
        <w:rPr>
          <w:szCs w:val="22"/>
        </w:rPr>
        <w:t xml:space="preserve"> a </w:t>
      </w:r>
      <w:r w:rsidRPr="00F3654D">
        <w:rPr>
          <w:b/>
          <w:bCs/>
          <w:szCs w:val="22"/>
        </w:rPr>
        <w:t>stabilizaci ukazatelů ovlivněných pandemií covid-19</w:t>
      </w:r>
      <w:r w:rsidRPr="00F3654D">
        <w:rPr>
          <w:szCs w:val="22"/>
        </w:rPr>
        <w:t>.</w:t>
      </w:r>
      <w:r>
        <w:rPr>
          <w:szCs w:val="22"/>
        </w:rPr>
        <w:t xml:space="preserve"> </w:t>
      </w:r>
      <w:r w:rsidRPr="00F3654D">
        <w:rPr>
          <w:szCs w:val="22"/>
        </w:rPr>
        <w:t xml:space="preserve">Zároveň byla provedena </w:t>
      </w:r>
      <w:r w:rsidRPr="00F3654D">
        <w:rPr>
          <w:b/>
          <w:bCs/>
          <w:szCs w:val="22"/>
        </w:rPr>
        <w:t>komparace krajských specifik</w:t>
      </w:r>
      <w:r w:rsidRPr="00F3654D">
        <w:rPr>
          <w:szCs w:val="22"/>
        </w:rPr>
        <w:t>, která umožňuje zhodnotit regionální odlišnosti v klíčových parametrech vzdělávací soustavy.</w:t>
      </w:r>
    </w:p>
    <w:p w14:paraId="1CAB8F24" w14:textId="2526AFDB" w:rsidR="00F3654D" w:rsidRPr="00F3654D" w:rsidRDefault="00F3654D" w:rsidP="00F3654D">
      <w:pPr>
        <w:spacing w:line="264" w:lineRule="auto"/>
        <w:jc w:val="both"/>
        <w:rPr>
          <w:szCs w:val="22"/>
        </w:rPr>
      </w:pPr>
      <w:r w:rsidRPr="00F3654D">
        <w:rPr>
          <w:szCs w:val="22"/>
        </w:rPr>
        <w:t>Vyhodnocení je členěno do tří analytických kapitol:</w:t>
      </w:r>
    </w:p>
    <w:p w14:paraId="7C9F1F8E" w14:textId="77777777" w:rsidR="00F3654D" w:rsidRPr="00F3654D" w:rsidRDefault="00F3654D" w:rsidP="00DD0748">
      <w:pPr>
        <w:numPr>
          <w:ilvl w:val="0"/>
          <w:numId w:val="4"/>
        </w:numPr>
        <w:spacing w:line="264" w:lineRule="auto"/>
        <w:jc w:val="both"/>
        <w:rPr>
          <w:szCs w:val="22"/>
        </w:rPr>
      </w:pPr>
      <w:r w:rsidRPr="00F3654D">
        <w:rPr>
          <w:b/>
          <w:bCs/>
          <w:szCs w:val="22"/>
        </w:rPr>
        <w:t>Aktuální změny dlouhodobých trendů</w:t>
      </w:r>
    </w:p>
    <w:p w14:paraId="7F8A95B9" w14:textId="77777777" w:rsidR="00F3654D" w:rsidRPr="00F3654D" w:rsidRDefault="00F3654D" w:rsidP="00DD0748">
      <w:pPr>
        <w:numPr>
          <w:ilvl w:val="0"/>
          <w:numId w:val="4"/>
        </w:numPr>
        <w:spacing w:line="264" w:lineRule="auto"/>
        <w:jc w:val="both"/>
        <w:rPr>
          <w:szCs w:val="22"/>
        </w:rPr>
      </w:pPr>
      <w:r w:rsidRPr="00F3654D">
        <w:rPr>
          <w:b/>
          <w:bCs/>
          <w:szCs w:val="22"/>
        </w:rPr>
        <w:t>Covidové výkyvy a jejich konsolidace</w:t>
      </w:r>
    </w:p>
    <w:p w14:paraId="029EE641" w14:textId="77777777" w:rsidR="00F3654D" w:rsidRPr="00F3654D" w:rsidRDefault="00F3654D" w:rsidP="00DD0748">
      <w:pPr>
        <w:numPr>
          <w:ilvl w:val="0"/>
          <w:numId w:val="4"/>
        </w:numPr>
        <w:spacing w:line="264" w:lineRule="auto"/>
        <w:jc w:val="both"/>
        <w:rPr>
          <w:szCs w:val="22"/>
        </w:rPr>
      </w:pPr>
      <w:r w:rsidRPr="00F3654D">
        <w:rPr>
          <w:b/>
          <w:bCs/>
          <w:szCs w:val="22"/>
        </w:rPr>
        <w:t>Charakteristiky krajů</w:t>
      </w:r>
    </w:p>
    <w:p w14:paraId="79488A05" w14:textId="00F8FAD6" w:rsidR="009B190F" w:rsidRPr="00400FE9" w:rsidRDefault="00F3654D" w:rsidP="00715E7A">
      <w:pPr>
        <w:spacing w:line="264" w:lineRule="auto"/>
        <w:jc w:val="both"/>
        <w:rPr>
          <w:i/>
          <w:iCs/>
          <w:szCs w:val="22"/>
        </w:rPr>
      </w:pPr>
      <w:r w:rsidRPr="00F3654D">
        <w:rPr>
          <w:szCs w:val="22"/>
        </w:rPr>
        <w:t>Datová část s definicemi a zdroji indikátorů je uvedena v příloze č. 1:</w:t>
      </w:r>
      <w:r w:rsidR="00D377FA">
        <w:rPr>
          <w:szCs w:val="22"/>
        </w:rPr>
        <w:t xml:space="preserve"> </w:t>
      </w:r>
      <w:r w:rsidRPr="00F3654D">
        <w:rPr>
          <w:i/>
          <w:iCs/>
          <w:szCs w:val="22"/>
        </w:rPr>
        <w:t>Monitorovací rámec stavu a vývoje vzdělávací soustavy ČR – datový soubor 2025.</w:t>
      </w:r>
      <w:bookmarkStart w:id="2" w:name="_Hlk180345685"/>
    </w:p>
    <w:bookmarkEnd w:id="2"/>
    <w:p w14:paraId="35EBE0A6" w14:textId="77777777" w:rsidR="00BE6CAE" w:rsidRPr="00BC3B51" w:rsidRDefault="00BE6CAE">
      <w:pPr>
        <w:spacing w:line="276" w:lineRule="auto"/>
        <w:rPr>
          <w:rFonts w:eastAsiaTheme="majorEastAsia" w:cstheme="majorBidi"/>
          <w:b/>
          <w:color w:val="4C4C4C"/>
          <w:szCs w:val="22"/>
        </w:rPr>
      </w:pPr>
      <w:r w:rsidRPr="00BC3B51">
        <w:rPr>
          <w:szCs w:val="22"/>
        </w:rPr>
        <w:br w:type="page"/>
      </w:r>
    </w:p>
    <w:p w14:paraId="654776AB" w14:textId="281E2127" w:rsidR="005D1EE8" w:rsidRDefault="34AB54B3" w:rsidP="00DD0748">
      <w:pPr>
        <w:pStyle w:val="Nadpis2"/>
        <w:numPr>
          <w:ilvl w:val="0"/>
          <w:numId w:val="5"/>
        </w:numPr>
      </w:pPr>
      <w:bookmarkStart w:id="3" w:name="_Toc212712708"/>
      <w:r>
        <w:lastRenderedPageBreak/>
        <w:t>Shrnutí hlavních zjištění</w:t>
      </w:r>
      <w:bookmarkEnd w:id="3"/>
      <w:r>
        <w:t xml:space="preserve"> </w:t>
      </w:r>
    </w:p>
    <w:p w14:paraId="52940508" w14:textId="78849AA9" w:rsidR="007D5FB6" w:rsidRDefault="00F3654D" w:rsidP="006B3882">
      <w:pPr>
        <w:spacing w:line="276" w:lineRule="auto"/>
        <w:jc w:val="both"/>
        <w:rPr>
          <w:szCs w:val="22"/>
        </w:rPr>
      </w:pPr>
      <w:r w:rsidRPr="00F3654D">
        <w:rPr>
          <w:szCs w:val="22"/>
        </w:rPr>
        <w:t xml:space="preserve">Analýza </w:t>
      </w:r>
      <w:r w:rsidR="00C534B9">
        <w:rPr>
          <w:szCs w:val="22"/>
        </w:rPr>
        <w:t>v roce</w:t>
      </w:r>
      <w:r w:rsidRPr="00F3654D">
        <w:rPr>
          <w:szCs w:val="22"/>
        </w:rPr>
        <w:t xml:space="preserve"> 2025 identifikovala několik významných </w:t>
      </w:r>
      <w:r>
        <w:rPr>
          <w:szCs w:val="22"/>
        </w:rPr>
        <w:t>obratů</w:t>
      </w:r>
      <w:r w:rsidRPr="00F3654D">
        <w:rPr>
          <w:szCs w:val="22"/>
        </w:rPr>
        <w:t xml:space="preserve"> v dlouhodobých trendech.</w:t>
      </w:r>
      <w:r>
        <w:rPr>
          <w:szCs w:val="22"/>
        </w:rPr>
        <w:t xml:space="preserve"> </w:t>
      </w:r>
      <w:r w:rsidRPr="00F3654D">
        <w:rPr>
          <w:szCs w:val="22"/>
        </w:rPr>
        <w:t>Pozitivní vývoj je patrný zejména v oblasti kvalifikace učitelů</w:t>
      </w:r>
      <w:r>
        <w:rPr>
          <w:szCs w:val="22"/>
        </w:rPr>
        <w:t xml:space="preserve">, </w:t>
      </w:r>
      <w:r w:rsidRPr="00F3654D">
        <w:rPr>
          <w:szCs w:val="22"/>
        </w:rPr>
        <w:t>přechod</w:t>
      </w:r>
      <w:r>
        <w:rPr>
          <w:szCs w:val="22"/>
        </w:rPr>
        <w:t>u dětí do základního vzdělávání a podílu žáků ve směrech všeobecného vzdělávání ve středních školách.</w:t>
      </w:r>
      <w:r w:rsidRPr="00F3654D">
        <w:rPr>
          <w:szCs w:val="22"/>
        </w:rPr>
        <w:t xml:space="preserve"> </w:t>
      </w:r>
      <w:r>
        <w:rPr>
          <w:szCs w:val="22"/>
        </w:rPr>
        <w:t>N</w:t>
      </w:r>
      <w:r w:rsidRPr="00F3654D">
        <w:rPr>
          <w:szCs w:val="22"/>
        </w:rPr>
        <w:t>aopak rizikové tendence se objevují v oblasti financování, platových relací</w:t>
      </w:r>
      <w:r>
        <w:rPr>
          <w:szCs w:val="22"/>
        </w:rPr>
        <w:t>,</w:t>
      </w:r>
      <w:r w:rsidRPr="00F3654D">
        <w:rPr>
          <w:szCs w:val="22"/>
        </w:rPr>
        <w:t xml:space="preserve"> účasti dětí v</w:t>
      </w:r>
      <w:r>
        <w:rPr>
          <w:szCs w:val="22"/>
        </w:rPr>
        <w:t xml:space="preserve"> povinném</w:t>
      </w:r>
      <w:r w:rsidRPr="00F3654D">
        <w:rPr>
          <w:szCs w:val="22"/>
        </w:rPr>
        <w:t xml:space="preserve"> předškolním vzdělávání</w:t>
      </w:r>
      <w:r w:rsidR="00725CDA">
        <w:rPr>
          <w:szCs w:val="22"/>
        </w:rPr>
        <w:t xml:space="preserve"> a podílu osob s vysokoškolským vzděláním</w:t>
      </w:r>
      <w:r w:rsidRPr="00F3654D">
        <w:rPr>
          <w:szCs w:val="22"/>
        </w:rPr>
        <w:t xml:space="preserve">. </w:t>
      </w:r>
    </w:p>
    <w:p w14:paraId="0A0DE8D3" w14:textId="1CA07422" w:rsidR="00BF627C" w:rsidRPr="007D5FB6" w:rsidRDefault="00802388" w:rsidP="006B3882">
      <w:pPr>
        <w:spacing w:line="276" w:lineRule="auto"/>
        <w:jc w:val="both"/>
        <w:rPr>
          <w:b/>
          <w:bCs/>
          <w:szCs w:val="22"/>
        </w:rPr>
      </w:pPr>
      <w:r w:rsidRPr="007D5FB6">
        <w:rPr>
          <w:b/>
          <w:bCs/>
          <w:szCs w:val="22"/>
        </w:rPr>
        <w:t>Hlavní pozitivní zjištění</w:t>
      </w:r>
      <w:r w:rsidR="001921DB" w:rsidRPr="007D5FB6">
        <w:rPr>
          <w:b/>
          <w:bCs/>
          <w:szCs w:val="22"/>
        </w:rPr>
        <w:t>:</w:t>
      </w:r>
    </w:p>
    <w:p w14:paraId="0C28F5AE" w14:textId="77777777" w:rsidR="00BF627C" w:rsidRDefault="00424B11" w:rsidP="005C1793">
      <w:pPr>
        <w:pStyle w:val="Odstavecseseznamem"/>
        <w:numPr>
          <w:ilvl w:val="0"/>
          <w:numId w:val="10"/>
        </w:numPr>
        <w:spacing w:line="276" w:lineRule="auto"/>
        <w:jc w:val="both"/>
        <w:rPr>
          <w:szCs w:val="22"/>
        </w:rPr>
      </w:pPr>
      <w:r w:rsidRPr="00BC3B51">
        <w:rPr>
          <w:szCs w:val="22"/>
        </w:rPr>
        <w:t xml:space="preserve">Začalo docházet ke </w:t>
      </w:r>
      <w:r w:rsidRPr="007D5FB6">
        <w:rPr>
          <w:b/>
          <w:bCs/>
          <w:szCs w:val="22"/>
        </w:rPr>
        <w:t>s</w:t>
      </w:r>
      <w:r w:rsidR="001921DB" w:rsidRPr="007D5FB6">
        <w:rPr>
          <w:b/>
          <w:bCs/>
          <w:szCs w:val="22"/>
        </w:rPr>
        <w:t>nižování podílu nekvalifikovaných učitelů.</w:t>
      </w:r>
    </w:p>
    <w:p w14:paraId="6255BB27" w14:textId="249BE83B" w:rsidR="001921DB" w:rsidRPr="00BC3B51" w:rsidRDefault="0018038A" w:rsidP="005C1793">
      <w:pPr>
        <w:pStyle w:val="Odstavecseseznamem"/>
        <w:numPr>
          <w:ilvl w:val="0"/>
          <w:numId w:val="10"/>
        </w:numPr>
        <w:spacing w:line="276" w:lineRule="auto"/>
        <w:jc w:val="both"/>
        <w:rPr>
          <w:szCs w:val="22"/>
        </w:rPr>
      </w:pPr>
      <w:r>
        <w:rPr>
          <w:szCs w:val="22"/>
        </w:rPr>
        <w:t>Začal se snižovat</w:t>
      </w:r>
      <w:r w:rsidR="001921DB" w:rsidRPr="00BC3B51">
        <w:rPr>
          <w:szCs w:val="22"/>
        </w:rPr>
        <w:t xml:space="preserve"> </w:t>
      </w:r>
      <w:r w:rsidR="001921DB" w:rsidRPr="007D5FB6">
        <w:rPr>
          <w:b/>
          <w:bCs/>
          <w:szCs w:val="22"/>
        </w:rPr>
        <w:t>podí</w:t>
      </w:r>
      <w:r w:rsidRPr="007D5FB6">
        <w:rPr>
          <w:b/>
          <w:bCs/>
          <w:szCs w:val="22"/>
        </w:rPr>
        <w:t>l</w:t>
      </w:r>
      <w:r w:rsidR="001921DB" w:rsidRPr="007D5FB6">
        <w:rPr>
          <w:b/>
          <w:bCs/>
          <w:szCs w:val="22"/>
        </w:rPr>
        <w:t xml:space="preserve"> žáků nastupujících do 1. ročníku ZŠ s odkladem povinné školní docházky.</w:t>
      </w:r>
    </w:p>
    <w:p w14:paraId="593C4AD7" w14:textId="5A4DC467" w:rsidR="001921DB" w:rsidRDefault="007150E9" w:rsidP="005C1793">
      <w:pPr>
        <w:pStyle w:val="Odstavecseseznamem"/>
        <w:numPr>
          <w:ilvl w:val="0"/>
          <w:numId w:val="10"/>
        </w:numPr>
        <w:spacing w:line="276" w:lineRule="auto"/>
        <w:jc w:val="both"/>
        <w:rPr>
          <w:szCs w:val="22"/>
        </w:rPr>
      </w:pPr>
      <w:r>
        <w:rPr>
          <w:szCs w:val="22"/>
        </w:rPr>
        <w:t xml:space="preserve">Začal se zvyšovat </w:t>
      </w:r>
      <w:r w:rsidR="007D5FB6" w:rsidRPr="007D5FB6">
        <w:rPr>
          <w:b/>
          <w:bCs/>
          <w:szCs w:val="22"/>
        </w:rPr>
        <w:t xml:space="preserve">podíl žáků přijímaných </w:t>
      </w:r>
      <w:r w:rsidR="007D5FB6">
        <w:rPr>
          <w:b/>
          <w:bCs/>
          <w:szCs w:val="22"/>
        </w:rPr>
        <w:t xml:space="preserve">z 9. ročníků ZŠ </w:t>
      </w:r>
      <w:r w:rsidR="007D5FB6" w:rsidRPr="007D5FB6">
        <w:rPr>
          <w:b/>
          <w:bCs/>
          <w:szCs w:val="22"/>
        </w:rPr>
        <w:t>do gymnaziálních oborů středního vzdělávání</w:t>
      </w:r>
      <w:r w:rsidR="007D5FB6">
        <w:rPr>
          <w:b/>
          <w:bCs/>
          <w:szCs w:val="22"/>
        </w:rPr>
        <w:t>.</w:t>
      </w:r>
    </w:p>
    <w:p w14:paraId="629224CB" w14:textId="49DB12C8" w:rsidR="00937828" w:rsidRPr="007D5FB6" w:rsidRDefault="00B35897" w:rsidP="006B3882">
      <w:pPr>
        <w:spacing w:line="276" w:lineRule="auto"/>
        <w:jc w:val="both"/>
        <w:rPr>
          <w:b/>
          <w:bCs/>
          <w:szCs w:val="22"/>
        </w:rPr>
      </w:pPr>
      <w:r w:rsidRPr="007D5FB6">
        <w:rPr>
          <w:b/>
          <w:bCs/>
          <w:szCs w:val="22"/>
        </w:rPr>
        <w:t>Nově vznikající výzvy</w:t>
      </w:r>
      <w:r w:rsidR="00773408" w:rsidRPr="007D5FB6">
        <w:rPr>
          <w:b/>
          <w:bCs/>
          <w:szCs w:val="22"/>
        </w:rPr>
        <w:t>:</w:t>
      </w:r>
    </w:p>
    <w:p w14:paraId="57EDD7AE" w14:textId="233FE6C3" w:rsidR="00EB59F5" w:rsidRPr="00166147" w:rsidRDefault="00EB59F5" w:rsidP="005C1793">
      <w:pPr>
        <w:pStyle w:val="Odstavecseseznamem"/>
        <w:numPr>
          <w:ilvl w:val="0"/>
          <w:numId w:val="11"/>
        </w:numPr>
        <w:spacing w:line="276" w:lineRule="auto"/>
        <w:jc w:val="both"/>
        <w:rPr>
          <w:szCs w:val="22"/>
        </w:rPr>
      </w:pPr>
      <w:r w:rsidRPr="007D5FB6">
        <w:rPr>
          <w:b/>
          <w:bCs/>
          <w:szCs w:val="22"/>
        </w:rPr>
        <w:t>Veřejné výdaje na školství</w:t>
      </w:r>
      <w:r w:rsidRPr="00166147">
        <w:rPr>
          <w:szCs w:val="22"/>
        </w:rPr>
        <w:t xml:space="preserve"> jako podíl z veřejných rozpočtů začaly klesat.</w:t>
      </w:r>
    </w:p>
    <w:p w14:paraId="6278C30D" w14:textId="31A68160" w:rsidR="00850121" w:rsidRPr="00166147" w:rsidRDefault="00850121" w:rsidP="005C1793">
      <w:pPr>
        <w:pStyle w:val="Odstavecseseznamem"/>
        <w:numPr>
          <w:ilvl w:val="0"/>
          <w:numId w:val="11"/>
        </w:numPr>
        <w:spacing w:line="276" w:lineRule="auto"/>
        <w:jc w:val="both"/>
        <w:rPr>
          <w:szCs w:val="22"/>
        </w:rPr>
      </w:pPr>
      <w:r w:rsidRPr="00166147">
        <w:rPr>
          <w:szCs w:val="22"/>
        </w:rPr>
        <w:t xml:space="preserve">Začaly klesat </w:t>
      </w:r>
      <w:r w:rsidRPr="007D5FB6">
        <w:rPr>
          <w:b/>
          <w:bCs/>
          <w:szCs w:val="22"/>
        </w:rPr>
        <w:t>průměrné platy pedagogických pracovníků</w:t>
      </w:r>
      <w:r w:rsidRPr="00166147">
        <w:rPr>
          <w:szCs w:val="22"/>
        </w:rPr>
        <w:t xml:space="preserve"> vůči průměrné mzdě v ČR.</w:t>
      </w:r>
    </w:p>
    <w:p w14:paraId="0A222067" w14:textId="0DFBB0EF" w:rsidR="00624C8B" w:rsidRPr="00166147" w:rsidRDefault="00624C8B" w:rsidP="005C1793">
      <w:pPr>
        <w:pStyle w:val="Odstavecseseznamem"/>
        <w:numPr>
          <w:ilvl w:val="0"/>
          <w:numId w:val="11"/>
        </w:numPr>
        <w:spacing w:line="276" w:lineRule="auto"/>
        <w:jc w:val="both"/>
        <w:rPr>
          <w:szCs w:val="22"/>
        </w:rPr>
      </w:pPr>
      <w:r w:rsidRPr="00166147">
        <w:rPr>
          <w:szCs w:val="22"/>
        </w:rPr>
        <w:t xml:space="preserve">Začal mírně klesat </w:t>
      </w:r>
      <w:r w:rsidRPr="007D5FB6">
        <w:rPr>
          <w:b/>
          <w:bCs/>
          <w:szCs w:val="22"/>
        </w:rPr>
        <w:t>podíl dětí plnících povinný předškolní ročník</w:t>
      </w:r>
      <w:r w:rsidRPr="00166147">
        <w:rPr>
          <w:szCs w:val="22"/>
        </w:rPr>
        <w:t xml:space="preserve"> z věkové skupiny 5letých</w:t>
      </w:r>
      <w:r w:rsidR="004F5FC2" w:rsidRPr="00166147">
        <w:rPr>
          <w:szCs w:val="22"/>
        </w:rPr>
        <w:t>.</w:t>
      </w:r>
    </w:p>
    <w:p w14:paraId="23A76EAA" w14:textId="5BBE1D29" w:rsidR="001F2BBA" w:rsidRDefault="004F5FC2" w:rsidP="005C1793">
      <w:pPr>
        <w:pStyle w:val="Odstavecseseznamem"/>
        <w:numPr>
          <w:ilvl w:val="0"/>
          <w:numId w:val="11"/>
        </w:numPr>
        <w:spacing w:line="276" w:lineRule="auto"/>
        <w:jc w:val="both"/>
        <w:rPr>
          <w:szCs w:val="22"/>
        </w:rPr>
      </w:pPr>
      <w:r w:rsidRPr="00166147">
        <w:rPr>
          <w:szCs w:val="22"/>
        </w:rPr>
        <w:t xml:space="preserve">Začal mírně </w:t>
      </w:r>
      <w:r w:rsidR="0051588A" w:rsidRPr="00166147">
        <w:rPr>
          <w:szCs w:val="22"/>
        </w:rPr>
        <w:t xml:space="preserve">klesat </w:t>
      </w:r>
      <w:r w:rsidRPr="007D5FB6">
        <w:rPr>
          <w:b/>
          <w:bCs/>
          <w:szCs w:val="22"/>
        </w:rPr>
        <w:t>podíl osob ve věku 25-34 let s vysokoškolským vzděláním</w:t>
      </w:r>
      <w:r w:rsidRPr="00166147">
        <w:rPr>
          <w:szCs w:val="22"/>
        </w:rPr>
        <w:t>.</w:t>
      </w:r>
    </w:p>
    <w:p w14:paraId="409A8851" w14:textId="77777777" w:rsidR="007D5FB6" w:rsidRDefault="007D5FB6" w:rsidP="007D5FB6">
      <w:pPr>
        <w:pStyle w:val="Odstavecseseznamem"/>
        <w:spacing w:line="276" w:lineRule="auto"/>
        <w:jc w:val="both"/>
        <w:rPr>
          <w:szCs w:val="22"/>
        </w:rPr>
      </w:pPr>
    </w:p>
    <w:p w14:paraId="6F929D97" w14:textId="42BA094E" w:rsidR="007D5FB6" w:rsidRPr="007D5FB6" w:rsidRDefault="007D5FB6" w:rsidP="007D5FB6">
      <w:pPr>
        <w:pStyle w:val="Odstavecseseznamem"/>
        <w:spacing w:line="276" w:lineRule="auto"/>
        <w:ind w:left="0"/>
        <w:jc w:val="both"/>
        <w:rPr>
          <w:b/>
          <w:bCs/>
          <w:szCs w:val="22"/>
        </w:rPr>
      </w:pPr>
      <w:r w:rsidRPr="007D5FB6">
        <w:rPr>
          <w:b/>
          <w:bCs/>
          <w:szCs w:val="22"/>
        </w:rPr>
        <w:t>Konsolidace po covidovém období</w:t>
      </w:r>
    </w:p>
    <w:p w14:paraId="19EAB7D6" w14:textId="03991199" w:rsidR="007D5FB6" w:rsidRPr="007D5FB6" w:rsidRDefault="00230CE6" w:rsidP="007D5FB6">
      <w:pPr>
        <w:spacing w:line="276" w:lineRule="auto"/>
        <w:jc w:val="both"/>
      </w:pPr>
      <w:r w:rsidRPr="007D5FB6">
        <w:rPr>
          <w:szCs w:val="22"/>
        </w:rPr>
        <w:t xml:space="preserve">Období covidové epidemie mělo vliv </w:t>
      </w:r>
      <w:r w:rsidR="00DD2C52" w:rsidRPr="007D5FB6">
        <w:rPr>
          <w:szCs w:val="22"/>
        </w:rPr>
        <w:t xml:space="preserve">na některé indikátory v oblasti opakování ročníků, předčasných odchodů ze vzdělávání a </w:t>
      </w:r>
      <w:r w:rsidR="003C62A3" w:rsidRPr="007D5FB6">
        <w:rPr>
          <w:szCs w:val="22"/>
        </w:rPr>
        <w:t>účasti na vzdělávání.</w:t>
      </w:r>
      <w:r w:rsidR="00681C20" w:rsidRPr="00681C20">
        <w:t xml:space="preserve"> </w:t>
      </w:r>
      <w:r w:rsidR="007D5FB6" w:rsidRPr="007D5FB6">
        <w:t>Většina indikátorů, které byly ovlivněny pandemií, se vrátila na předchozí trajektorii. Výjimku tvoří:</w:t>
      </w:r>
    </w:p>
    <w:p w14:paraId="5C9B3A4C" w14:textId="6415D94C" w:rsidR="007D5FB6" w:rsidRPr="007D5FB6" w:rsidRDefault="007D5FB6" w:rsidP="00DD0748">
      <w:pPr>
        <w:numPr>
          <w:ilvl w:val="0"/>
          <w:numId w:val="6"/>
        </w:numPr>
        <w:spacing w:line="276" w:lineRule="auto"/>
        <w:jc w:val="both"/>
      </w:pPr>
      <w:r w:rsidRPr="007D5FB6">
        <w:rPr>
          <w:b/>
          <w:bCs/>
        </w:rPr>
        <w:t xml:space="preserve">Pozitivní trend poklesu podílu žáků odcházejících </w:t>
      </w:r>
      <w:r w:rsidR="00400FE9">
        <w:rPr>
          <w:b/>
          <w:bCs/>
        </w:rPr>
        <w:t xml:space="preserve">ze ZŠ </w:t>
      </w:r>
      <w:r w:rsidRPr="007D5FB6">
        <w:rPr>
          <w:b/>
          <w:bCs/>
        </w:rPr>
        <w:t>bez dokončeného stupně vzdělání</w:t>
      </w:r>
      <w:r w:rsidRPr="007D5FB6">
        <w:t xml:space="preserve"> (stále trvá).</w:t>
      </w:r>
    </w:p>
    <w:p w14:paraId="4A18603B" w14:textId="422D98B7" w:rsidR="007D5FB6" w:rsidRPr="007D5FB6" w:rsidRDefault="007D5FB6" w:rsidP="00DD0748">
      <w:pPr>
        <w:numPr>
          <w:ilvl w:val="0"/>
          <w:numId w:val="6"/>
        </w:numPr>
        <w:spacing w:line="276" w:lineRule="auto"/>
        <w:jc w:val="both"/>
      </w:pPr>
      <w:r w:rsidRPr="007D5FB6">
        <w:rPr>
          <w:b/>
          <w:bCs/>
        </w:rPr>
        <w:t>Negativní trend růstu podílu absolventů ZŠ, kteří nepokračují ve studiu na SŠ či konzervatoři</w:t>
      </w:r>
      <w:r>
        <w:rPr>
          <w:b/>
          <w:bCs/>
        </w:rPr>
        <w:t xml:space="preserve"> </w:t>
      </w:r>
      <w:r w:rsidRPr="007D5FB6">
        <w:t>(stále trvá)</w:t>
      </w:r>
      <w:r w:rsidRPr="007D5FB6">
        <w:rPr>
          <w:b/>
          <w:bCs/>
        </w:rPr>
        <w:t>.</w:t>
      </w:r>
    </w:p>
    <w:p w14:paraId="0F0D8F3A" w14:textId="77777777" w:rsidR="007D5FB6" w:rsidRPr="007D5FB6" w:rsidRDefault="007D5FB6" w:rsidP="007D5FB6">
      <w:pPr>
        <w:rPr>
          <w:rFonts w:ascii="Times New Roman" w:hAnsi="Times New Roman"/>
          <w:sz w:val="24"/>
        </w:rPr>
      </w:pPr>
      <w:r w:rsidRPr="007D5FB6">
        <w:rPr>
          <w:rStyle w:val="Siln"/>
        </w:rPr>
        <w:t>Regionální rozdíly</w:t>
      </w:r>
    </w:p>
    <w:p w14:paraId="163C61F7" w14:textId="77777777" w:rsidR="007D5FB6" w:rsidRDefault="007D5FB6" w:rsidP="002E160E">
      <w:pPr>
        <w:pStyle w:val="Normlnweb"/>
        <w:jc w:val="both"/>
      </w:pPr>
      <w:r>
        <w:t>Srovnávací analýza krajských dat potvrdila výraznou polarizaci mezi:</w:t>
      </w:r>
    </w:p>
    <w:p w14:paraId="2586F58F" w14:textId="39669097" w:rsidR="007D5FB6" w:rsidRDefault="00400FE9" w:rsidP="00DD0748">
      <w:pPr>
        <w:pStyle w:val="Normlnweb"/>
        <w:numPr>
          <w:ilvl w:val="0"/>
          <w:numId w:val="7"/>
        </w:numPr>
        <w:jc w:val="both"/>
      </w:pPr>
      <w:r w:rsidRPr="7E9CAFE3">
        <w:rPr>
          <w:rStyle w:val="Siln"/>
        </w:rPr>
        <w:t>H</w:t>
      </w:r>
      <w:r w:rsidR="007D5FB6" w:rsidRPr="7E9CAFE3">
        <w:rPr>
          <w:rStyle w:val="Siln"/>
        </w:rPr>
        <w:t>l. m. Prahou</w:t>
      </w:r>
      <w:r w:rsidR="007D5FB6">
        <w:t xml:space="preserve"> – silné výsledky žáků, vyšší</w:t>
      </w:r>
      <w:r w:rsidR="00005AFF">
        <w:t xml:space="preserve"> vzdělanostní aspirace</w:t>
      </w:r>
      <w:r w:rsidR="007D5FB6">
        <w:t>, dobré personální zajištění podpůrných profesí,</w:t>
      </w:r>
      <w:r w:rsidR="00005AFF">
        <w:t xml:space="preserve"> n</w:t>
      </w:r>
      <w:r w:rsidR="00947023">
        <w:t xml:space="preserve">ižší </w:t>
      </w:r>
      <w:r w:rsidR="00005AFF">
        <w:t xml:space="preserve">platy pedagogických pracovníků </w:t>
      </w:r>
      <w:r w:rsidR="00947023">
        <w:t xml:space="preserve">ve vztahu </w:t>
      </w:r>
      <w:r w:rsidR="00005AFF">
        <w:t>k průměrné mzdě</w:t>
      </w:r>
      <w:r w:rsidR="00947023">
        <w:t xml:space="preserve"> v porovnání s ostatními kraji</w:t>
      </w:r>
      <w:r w:rsidR="00005AFF">
        <w:t>, nízký podíl zdravotně znevýhodněných žáků v běžných třídách</w:t>
      </w:r>
    </w:p>
    <w:p w14:paraId="1B73D28D" w14:textId="45613A0C" w:rsidR="00420C73" w:rsidRPr="00420C73" w:rsidRDefault="00420C73" w:rsidP="00420C73">
      <w:pPr>
        <w:pStyle w:val="Normlnweb"/>
        <w:ind w:left="720"/>
        <w:jc w:val="both"/>
        <w:rPr>
          <w:b/>
          <w:bCs/>
        </w:rPr>
      </w:pPr>
      <w:r w:rsidRPr="00420C73">
        <w:rPr>
          <w:rStyle w:val="Siln"/>
          <w:b w:val="0"/>
          <w:bCs w:val="0"/>
        </w:rPr>
        <w:t>a</w:t>
      </w:r>
    </w:p>
    <w:p w14:paraId="0B38CF6A" w14:textId="57530900" w:rsidR="00EB59F5" w:rsidRDefault="007D5FB6" w:rsidP="00DD0748">
      <w:pPr>
        <w:pStyle w:val="Normlnweb"/>
        <w:numPr>
          <w:ilvl w:val="0"/>
          <w:numId w:val="7"/>
        </w:numPr>
        <w:jc w:val="both"/>
      </w:pPr>
      <w:r>
        <w:rPr>
          <w:rStyle w:val="Siln"/>
        </w:rPr>
        <w:t>Karlovarským a Ústeckým krajem</w:t>
      </w:r>
      <w:r>
        <w:t xml:space="preserve"> </w:t>
      </w:r>
      <w:r w:rsidR="00135143">
        <w:t>– slabé</w:t>
      </w:r>
      <w:r w:rsidR="00005AFF">
        <w:t xml:space="preserve"> výsledky žáků, </w:t>
      </w:r>
      <w:r>
        <w:t>nižší vzdělanostní aspirace, vyšší podíl předčasných odchodů</w:t>
      </w:r>
      <w:r w:rsidR="00005AFF">
        <w:t>, chybějící podpůrné profese, nižší zastoupení maturitních oborů ve středním vzdělávání, vysoké zastoupení žáků se zdravotním postižením v běžných třídách, vy</w:t>
      </w:r>
      <w:r w:rsidR="00947023">
        <w:t>šší</w:t>
      </w:r>
      <w:r w:rsidR="00005AFF">
        <w:t xml:space="preserve"> platy pedagogických pracovníků v relaci k průměrné mzdě kraje</w:t>
      </w:r>
      <w:r w:rsidR="00947023">
        <w:t xml:space="preserve"> než v ostatních krajích</w:t>
      </w:r>
      <w:r w:rsidR="00005AFF">
        <w:t>.</w:t>
      </w:r>
    </w:p>
    <w:p w14:paraId="0DB5C6FF" w14:textId="2243FAAE" w:rsidR="00D51521" w:rsidRPr="004072CE" w:rsidRDefault="00D51521" w:rsidP="002E160E">
      <w:pPr>
        <w:pStyle w:val="Normlnweb"/>
        <w:jc w:val="both"/>
      </w:pPr>
      <w:r>
        <w:t>Ostatní kraje mají výrazně nižší tendenci dosahovat krajních hodnot a vykazují nižší míru vzájemných odlišností.</w:t>
      </w:r>
    </w:p>
    <w:p w14:paraId="3063B6D8" w14:textId="77777777" w:rsidR="00AF49D6" w:rsidRPr="00BE6CAE" w:rsidRDefault="00AF49D6" w:rsidP="3CE2E943">
      <w:pPr>
        <w:spacing w:line="276" w:lineRule="auto"/>
      </w:pPr>
    </w:p>
    <w:p w14:paraId="7FD07A52" w14:textId="39BAB0B1" w:rsidR="00BE6CAE" w:rsidRDefault="00BE6CAE" w:rsidP="3CE2E943">
      <w:pPr>
        <w:spacing w:line="276" w:lineRule="auto"/>
        <w:rPr>
          <w:rFonts w:asciiTheme="minorHAnsi" w:hAnsiTheme="minorHAnsi"/>
          <w:smallCaps/>
          <w:color w:val="428D96"/>
          <w:sz w:val="42"/>
          <w:szCs w:val="42"/>
        </w:rPr>
        <w:sectPr w:rsidR="00BE6CAE" w:rsidSect="00CA5BD0">
          <w:headerReference w:type="default" r:id="rId11"/>
          <w:footerReference w:type="default" r:id="rId12"/>
          <w:headerReference w:type="first" r:id="rId13"/>
          <w:pgSz w:w="11906" w:h="16838" w:code="9"/>
          <w:pgMar w:top="1418" w:right="1021" w:bottom="1134" w:left="1021" w:header="709" w:footer="709" w:gutter="0"/>
          <w:pgNumType w:start="0"/>
          <w:cols w:space="708"/>
          <w:titlePg/>
          <w:docGrid w:linePitch="360"/>
        </w:sectPr>
      </w:pPr>
    </w:p>
    <w:p w14:paraId="2D14C68B" w14:textId="44391CA6" w:rsidR="00897CBF" w:rsidRDefault="00D377FA" w:rsidP="00897CBF">
      <w:pPr>
        <w:pStyle w:val="Nadpis2"/>
      </w:pPr>
      <w:bookmarkStart w:id="10" w:name="_Hlk178108405"/>
      <w:bookmarkStart w:id="11" w:name="_Toc212712709"/>
      <w:r>
        <w:lastRenderedPageBreak/>
        <w:t>3</w:t>
      </w:r>
      <w:r w:rsidR="00897CBF">
        <w:t>. Aktuální změny dlouhodobých trendů</w:t>
      </w:r>
      <w:bookmarkEnd w:id="11"/>
    </w:p>
    <w:p w14:paraId="3F99512B" w14:textId="499ECA29" w:rsidR="009A73CE" w:rsidRDefault="004072CE" w:rsidP="00A670FF">
      <w:pPr>
        <w:jc w:val="both"/>
      </w:pPr>
      <w:r w:rsidRPr="004072CE">
        <w:t>Cílem této kapitoly je identifikovat indikátory, u nichž došlo k obratu dosavadního vývoje – tedy ke změně směru trendu po předchozím období růstu nebo poklesu.</w:t>
      </w:r>
      <w:r w:rsidR="00D765F0">
        <w:rPr>
          <w:rStyle w:val="Znakapoznpodarou"/>
        </w:rPr>
        <w:footnoteReference w:id="2"/>
      </w:r>
      <w:r w:rsidR="009A73CE">
        <w:t>.</w:t>
      </w:r>
    </w:p>
    <w:p w14:paraId="482F7897" w14:textId="77777777" w:rsidR="004072CE" w:rsidRDefault="004072CE" w:rsidP="00A670FF">
      <w:pPr>
        <w:jc w:val="both"/>
        <w:rPr>
          <w:b/>
        </w:rPr>
      </w:pPr>
      <w:r w:rsidRPr="004072CE">
        <w:t xml:space="preserve">Vzhledem k omezené délce časových řad (zpravidla 8–10 let) nelze tyto změny považovat za statisticky prokázané zlomy, avšak představují </w:t>
      </w:r>
      <w:r w:rsidRPr="00B64BDB">
        <w:rPr>
          <w:b/>
          <w:bCs/>
        </w:rPr>
        <w:t>signál pro další sledování a interpretaci.</w:t>
      </w:r>
    </w:p>
    <w:p w14:paraId="5BF52C51" w14:textId="557B23FF" w:rsidR="00FC24EF" w:rsidRPr="00377DB9" w:rsidRDefault="005E09CE" w:rsidP="00406B45">
      <w:pPr>
        <w:pStyle w:val="Nadpis3"/>
      </w:pPr>
      <w:bookmarkStart w:id="12" w:name="_Toc212712710"/>
      <w:r w:rsidRPr="00377DB9">
        <w:t xml:space="preserve">Souhrn </w:t>
      </w:r>
      <w:r w:rsidR="00AB2928">
        <w:t>hlavních výsledků</w:t>
      </w:r>
      <w:bookmarkEnd w:id="12"/>
    </w:p>
    <w:p w14:paraId="141BCA2E" w14:textId="579AC071" w:rsidR="00A72CFB" w:rsidRPr="00A72CFB" w:rsidRDefault="00A72CFB" w:rsidP="00A72CFB">
      <w:pPr>
        <w:jc w:val="both"/>
      </w:pPr>
      <w:r w:rsidRPr="00A72CFB">
        <w:rPr>
          <w:noProof/>
        </w:rPr>
        <mc:AlternateContent>
          <mc:Choice Requires="wps">
            <w:drawing>
              <wp:inline distT="0" distB="0" distL="0" distR="0" wp14:anchorId="2EF1397B" wp14:editId="1E14626B">
                <wp:extent cx="6038850" cy="45719"/>
                <wp:effectExtent l="0" t="0" r="19050" b="12065"/>
                <wp:docPr id="26871526"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38850" cy="45719"/>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5E719BC0">
              <v:rect id="Obdélník 2" style="width:475.5pt;height:3.6pt;flip:y;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2E6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">
                <v:stroke opacity="0"/>
                <w10:anchorlock/>
              </v:rect>
            </w:pict>
          </mc:Fallback>
        </mc:AlternateContent>
      </w:r>
    </w:p>
    <w:tbl>
      <w:tblPr>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762"/>
        <w:gridCol w:w="4762"/>
        <w:gridCol w:w="4762"/>
      </w:tblGrid>
      <w:tr w:rsidR="00AE457D" w:rsidRPr="00A72CFB" w14:paraId="4B1A26B9" w14:textId="77777777" w:rsidTr="009A58B0">
        <w:trPr>
          <w:cantSplit/>
          <w:tblCellSpacing w:w="0" w:type="dxa"/>
          <w:jc w:val="center"/>
        </w:trPr>
        <w:tc>
          <w:tcPr>
            <w:tcW w:w="4762" w:type="dxa"/>
            <w:tcBorders>
              <w:top w:val="single" w:sz="2" w:space="0" w:color="000000"/>
              <w:left w:val="nil"/>
              <w:bottom w:val="single" w:sz="2" w:space="0" w:color="000000"/>
              <w:right w:val="single" w:sz="2" w:space="0" w:color="000000"/>
            </w:tcBorders>
            <w:shd w:val="clear" w:color="auto" w:fill="D3EBDA" w:themeFill="accent5" w:themeFillTint="33"/>
            <w:hideMark/>
          </w:tcPr>
          <w:p w14:paraId="092814DD" w14:textId="0E687722" w:rsidR="00A72CFB" w:rsidRPr="00A72CFB" w:rsidRDefault="00A72CFB" w:rsidP="00A72CFB">
            <w:pPr>
              <w:jc w:val="both"/>
              <w:rPr>
                <w:b/>
                <w:bCs/>
              </w:rPr>
            </w:pPr>
            <w:r w:rsidRPr="00A72CFB">
              <w:rPr>
                <w:b/>
                <w:bCs/>
              </w:rPr>
              <w:t xml:space="preserve">Pozitivní </w:t>
            </w:r>
            <w:r w:rsidR="00BD62A9">
              <w:rPr>
                <w:b/>
                <w:bCs/>
              </w:rPr>
              <w:t>obraty</w:t>
            </w:r>
          </w:p>
        </w:tc>
        <w:tc>
          <w:tcPr>
            <w:tcW w:w="4762" w:type="dxa"/>
            <w:tcBorders>
              <w:top w:val="single" w:sz="2" w:space="0" w:color="000000"/>
              <w:left w:val="nil"/>
              <w:bottom w:val="single" w:sz="2" w:space="0" w:color="000000"/>
              <w:right w:val="single" w:sz="2" w:space="0" w:color="000000"/>
            </w:tcBorders>
            <w:shd w:val="clear" w:color="auto" w:fill="D2CAB6" w:themeFill="background2" w:themeFillShade="E6"/>
            <w:hideMark/>
          </w:tcPr>
          <w:p w14:paraId="61B52711" w14:textId="77777777" w:rsidR="00A72CFB" w:rsidRPr="00A72CFB" w:rsidRDefault="00A72CFB" w:rsidP="00A72CFB">
            <w:pPr>
              <w:jc w:val="both"/>
              <w:rPr>
                <w:b/>
                <w:bCs/>
              </w:rPr>
            </w:pPr>
            <w:r w:rsidRPr="00A72CFB">
              <w:rPr>
                <w:b/>
                <w:bCs/>
              </w:rPr>
              <w:t>Výzvy</w:t>
            </w:r>
          </w:p>
        </w:tc>
        <w:tc>
          <w:tcPr>
            <w:tcW w:w="4762" w:type="dxa"/>
            <w:tcBorders>
              <w:top w:val="single" w:sz="2" w:space="0" w:color="000000"/>
              <w:left w:val="nil"/>
              <w:bottom w:val="single" w:sz="2" w:space="0" w:color="000000"/>
              <w:right w:val="nil"/>
            </w:tcBorders>
            <w:shd w:val="clear" w:color="auto" w:fill="C4ECF8" w:themeFill="text2" w:themeFillTint="33"/>
            <w:hideMark/>
          </w:tcPr>
          <w:p w14:paraId="7DA8ADA2" w14:textId="32BDC24F" w:rsidR="00A72CFB" w:rsidRPr="00A72CFB" w:rsidRDefault="00A72CFB" w:rsidP="00A72CFB">
            <w:pPr>
              <w:jc w:val="both"/>
              <w:rPr>
                <w:b/>
                <w:bCs/>
              </w:rPr>
            </w:pPr>
            <w:r w:rsidRPr="00A72CFB">
              <w:rPr>
                <w:b/>
                <w:bCs/>
              </w:rPr>
              <w:t xml:space="preserve">Kontextové </w:t>
            </w:r>
            <w:r w:rsidR="00D05426">
              <w:rPr>
                <w:b/>
                <w:bCs/>
              </w:rPr>
              <w:t>proměny</w:t>
            </w:r>
          </w:p>
        </w:tc>
      </w:tr>
      <w:tr w:rsidR="00AE457D" w:rsidRPr="00A72CFB" w14:paraId="1A38FBF9" w14:textId="77777777" w:rsidTr="009A58B0">
        <w:trPr>
          <w:cantSplit/>
          <w:tblCellSpacing w:w="0" w:type="dxa"/>
          <w:jc w:val="center"/>
        </w:trPr>
        <w:tc>
          <w:tcPr>
            <w:tcW w:w="4762" w:type="dxa"/>
            <w:tcBorders>
              <w:top w:val="single" w:sz="2" w:space="0" w:color="000000"/>
              <w:left w:val="nil"/>
              <w:bottom w:val="single" w:sz="2" w:space="0" w:color="000000"/>
              <w:right w:val="single" w:sz="2" w:space="0" w:color="000000"/>
            </w:tcBorders>
            <w:shd w:val="clear" w:color="auto" w:fill="D3EBDA" w:themeFill="accent5" w:themeFillTint="33"/>
            <w:hideMark/>
          </w:tcPr>
          <w:p w14:paraId="454C5F3F" w14:textId="77777777" w:rsidR="00A72CFB" w:rsidRPr="00A72CFB" w:rsidRDefault="00A72CFB" w:rsidP="00A72CFB">
            <w:pPr>
              <w:jc w:val="both"/>
            </w:pPr>
            <w:r w:rsidRPr="00A72CFB">
              <w:t>- Snižování podílu nekvalifikovaných učitelů.</w:t>
            </w:r>
          </w:p>
        </w:tc>
        <w:tc>
          <w:tcPr>
            <w:tcW w:w="4762" w:type="dxa"/>
            <w:tcBorders>
              <w:top w:val="single" w:sz="2" w:space="0" w:color="000000"/>
              <w:left w:val="nil"/>
              <w:bottom w:val="single" w:sz="2" w:space="0" w:color="000000"/>
              <w:right w:val="single" w:sz="2" w:space="0" w:color="000000"/>
            </w:tcBorders>
            <w:shd w:val="clear" w:color="auto" w:fill="D2CAB6" w:themeFill="background2" w:themeFillShade="E6"/>
            <w:hideMark/>
          </w:tcPr>
          <w:p w14:paraId="1DEEDE23" w14:textId="476A264D" w:rsidR="00A72CFB" w:rsidRPr="00A72CFB" w:rsidRDefault="00A72CFB" w:rsidP="00A72CFB">
            <w:pPr>
              <w:jc w:val="both"/>
            </w:pPr>
            <w:r w:rsidRPr="00A72CFB">
              <w:t>- Klesající podíl veřejných výdajů na školství k</w:t>
            </w:r>
            <w:r w:rsidR="00A57C28">
              <w:t> </w:t>
            </w:r>
            <w:r w:rsidRPr="00A72CFB">
              <w:t>výdajům veřejných rozpočtů.</w:t>
            </w:r>
          </w:p>
        </w:tc>
        <w:tc>
          <w:tcPr>
            <w:tcW w:w="4762" w:type="dxa"/>
            <w:tcBorders>
              <w:top w:val="single" w:sz="2" w:space="0" w:color="000000"/>
              <w:left w:val="nil"/>
              <w:bottom w:val="single" w:sz="2" w:space="0" w:color="000000"/>
              <w:right w:val="nil"/>
            </w:tcBorders>
            <w:shd w:val="clear" w:color="auto" w:fill="C4ECF8" w:themeFill="text2" w:themeFillTint="33"/>
            <w:hideMark/>
          </w:tcPr>
          <w:p w14:paraId="6FCCADEB" w14:textId="77777777" w:rsidR="00A72CFB" w:rsidRPr="00A72CFB" w:rsidRDefault="00A72CFB" w:rsidP="00A72CFB">
            <w:pPr>
              <w:jc w:val="both"/>
            </w:pPr>
            <w:r w:rsidRPr="00A72CFB">
              <w:t>- Snižující se počty úvazků začínajících pedagogů.</w:t>
            </w:r>
          </w:p>
        </w:tc>
      </w:tr>
      <w:tr w:rsidR="00AE457D" w:rsidRPr="00A72CFB" w14:paraId="03AEA13D" w14:textId="77777777" w:rsidTr="009A58B0">
        <w:trPr>
          <w:cantSplit/>
          <w:tblCellSpacing w:w="0" w:type="dxa"/>
          <w:jc w:val="center"/>
        </w:trPr>
        <w:tc>
          <w:tcPr>
            <w:tcW w:w="4762" w:type="dxa"/>
            <w:tcBorders>
              <w:top w:val="single" w:sz="2" w:space="0" w:color="000000"/>
              <w:left w:val="nil"/>
              <w:bottom w:val="single" w:sz="2" w:space="0" w:color="000000"/>
              <w:right w:val="single" w:sz="2" w:space="0" w:color="000000"/>
            </w:tcBorders>
            <w:shd w:val="clear" w:color="auto" w:fill="D3EBDA" w:themeFill="accent5" w:themeFillTint="33"/>
            <w:hideMark/>
          </w:tcPr>
          <w:p w14:paraId="17272CA4" w14:textId="77777777" w:rsidR="00A72CFB" w:rsidRPr="00A72CFB" w:rsidRDefault="00A72CFB" w:rsidP="00A72CFB">
            <w:pPr>
              <w:jc w:val="both"/>
            </w:pPr>
            <w:r w:rsidRPr="00A72CFB">
              <w:t>- Snížení podílu žáků nastupujících do 1. ročníku ZŠ s odkladem povinné školní docházky.</w:t>
            </w:r>
          </w:p>
        </w:tc>
        <w:tc>
          <w:tcPr>
            <w:tcW w:w="4762" w:type="dxa"/>
            <w:tcBorders>
              <w:top w:val="single" w:sz="2" w:space="0" w:color="000000"/>
              <w:left w:val="nil"/>
              <w:bottom w:val="single" w:sz="2" w:space="0" w:color="000000"/>
              <w:right w:val="single" w:sz="2" w:space="0" w:color="000000"/>
            </w:tcBorders>
            <w:shd w:val="clear" w:color="auto" w:fill="D2CAB6" w:themeFill="background2" w:themeFillShade="E6"/>
            <w:hideMark/>
          </w:tcPr>
          <w:p w14:paraId="54E8575C" w14:textId="5E27B982" w:rsidR="00A72CFB" w:rsidRPr="00A72CFB" w:rsidRDefault="00A72CFB" w:rsidP="00E07228">
            <w:pPr>
              <w:jc w:val="both"/>
            </w:pPr>
            <w:r w:rsidRPr="00A72CFB">
              <w:t>-</w:t>
            </w:r>
            <w:r w:rsidR="00E07228">
              <w:t xml:space="preserve"> </w:t>
            </w:r>
            <w:r w:rsidRPr="00A72CFB">
              <w:t>Snižování průměrných platů pedagogických pracovníků v relaci k průměrné mzdě.</w:t>
            </w:r>
          </w:p>
        </w:tc>
        <w:tc>
          <w:tcPr>
            <w:tcW w:w="4762" w:type="dxa"/>
            <w:tcBorders>
              <w:top w:val="single" w:sz="2" w:space="0" w:color="000000"/>
              <w:left w:val="nil"/>
              <w:bottom w:val="single" w:sz="2" w:space="0" w:color="000000"/>
              <w:right w:val="nil"/>
            </w:tcBorders>
            <w:shd w:val="clear" w:color="auto" w:fill="C4ECF8" w:themeFill="text2" w:themeFillTint="33"/>
            <w:hideMark/>
          </w:tcPr>
          <w:p w14:paraId="706C3EB5" w14:textId="77777777" w:rsidR="00A72CFB" w:rsidRPr="00A72CFB" w:rsidRDefault="00A72CFB" w:rsidP="00A72CFB">
            <w:pPr>
              <w:jc w:val="both"/>
            </w:pPr>
            <w:r w:rsidRPr="00A72CFB">
              <w:t>- Pokles celkové kapacity základních škol.</w:t>
            </w:r>
          </w:p>
        </w:tc>
      </w:tr>
      <w:tr w:rsidR="00AE457D" w:rsidRPr="00A72CFB" w14:paraId="763A5E78" w14:textId="77777777" w:rsidTr="009A58B0">
        <w:trPr>
          <w:cantSplit/>
          <w:trHeight w:val="897"/>
          <w:tblCellSpacing w:w="0" w:type="dxa"/>
          <w:jc w:val="center"/>
        </w:trPr>
        <w:tc>
          <w:tcPr>
            <w:tcW w:w="4762" w:type="dxa"/>
            <w:tcBorders>
              <w:top w:val="single" w:sz="2" w:space="0" w:color="000000"/>
              <w:left w:val="nil"/>
              <w:bottom w:val="single" w:sz="2" w:space="0" w:color="000000"/>
              <w:right w:val="single" w:sz="2" w:space="0" w:color="000000"/>
            </w:tcBorders>
            <w:shd w:val="clear" w:color="auto" w:fill="D3EBDA" w:themeFill="accent5" w:themeFillTint="33"/>
            <w:hideMark/>
          </w:tcPr>
          <w:p w14:paraId="5D6C61D2" w14:textId="04EFA3F7" w:rsidR="00A72CFB" w:rsidRPr="00A72CFB" w:rsidRDefault="00A72CFB" w:rsidP="00A72CFB">
            <w:pPr>
              <w:jc w:val="both"/>
            </w:pPr>
            <w:r w:rsidRPr="00A72CFB">
              <w:t>- Zvýšení podílu nově přijatých žáků do 1. ročníku středního vzdělávání s maturitní zkouškou v</w:t>
            </w:r>
            <w:r w:rsidR="00A57C28">
              <w:t> </w:t>
            </w:r>
            <w:r w:rsidRPr="00A72CFB">
              <w:t>gymnaziálních oborech.</w:t>
            </w:r>
          </w:p>
        </w:tc>
        <w:tc>
          <w:tcPr>
            <w:tcW w:w="4762" w:type="dxa"/>
            <w:tcBorders>
              <w:top w:val="single" w:sz="2" w:space="0" w:color="000000"/>
              <w:left w:val="nil"/>
              <w:bottom w:val="single" w:sz="2" w:space="0" w:color="000000"/>
              <w:right w:val="single" w:sz="2" w:space="0" w:color="000000"/>
            </w:tcBorders>
            <w:shd w:val="clear" w:color="auto" w:fill="D2CAB6" w:themeFill="background2" w:themeFillShade="E6"/>
            <w:hideMark/>
          </w:tcPr>
          <w:p w14:paraId="21F1AC21" w14:textId="77777777" w:rsidR="00A72CFB" w:rsidRPr="00A72CFB" w:rsidRDefault="00A72CFB" w:rsidP="00A72CFB">
            <w:pPr>
              <w:jc w:val="both"/>
            </w:pPr>
            <w:r w:rsidRPr="00A72CFB">
              <w:t>- Klesající podíl dětí plnící povinný předškolní ročník z věkové skupiny 5letých.</w:t>
            </w:r>
          </w:p>
        </w:tc>
        <w:tc>
          <w:tcPr>
            <w:tcW w:w="4762" w:type="dxa"/>
            <w:tcBorders>
              <w:top w:val="single" w:sz="2" w:space="0" w:color="000000"/>
              <w:left w:val="nil"/>
              <w:bottom w:val="single" w:sz="2" w:space="0" w:color="000000"/>
              <w:right w:val="nil"/>
            </w:tcBorders>
            <w:shd w:val="clear" w:color="auto" w:fill="C4ECF8" w:themeFill="text2" w:themeFillTint="33"/>
            <w:hideMark/>
          </w:tcPr>
          <w:p w14:paraId="4F65249C" w14:textId="77777777" w:rsidR="00A72CFB" w:rsidRPr="00A72CFB" w:rsidRDefault="00A72CFB" w:rsidP="00A72CFB">
            <w:pPr>
              <w:jc w:val="both"/>
            </w:pPr>
            <w:r w:rsidRPr="00A72CFB">
              <w:t>- Nárůst celkové kapacity středních škol.</w:t>
            </w:r>
          </w:p>
        </w:tc>
      </w:tr>
      <w:tr w:rsidR="00AE457D" w:rsidRPr="00A72CFB" w14:paraId="677EB822" w14:textId="77777777" w:rsidTr="009A58B0">
        <w:trPr>
          <w:cantSplit/>
          <w:tblCellSpacing w:w="0" w:type="dxa"/>
          <w:jc w:val="center"/>
        </w:trPr>
        <w:tc>
          <w:tcPr>
            <w:tcW w:w="4762" w:type="dxa"/>
            <w:tcBorders>
              <w:top w:val="nil"/>
              <w:left w:val="nil"/>
              <w:bottom w:val="nil"/>
              <w:right w:val="single" w:sz="2" w:space="0" w:color="000000"/>
            </w:tcBorders>
            <w:shd w:val="clear" w:color="auto" w:fill="D3EBDA" w:themeFill="accent5" w:themeFillTint="33"/>
          </w:tcPr>
          <w:p w14:paraId="38470DB7" w14:textId="77777777" w:rsidR="00A72CFB" w:rsidRPr="00A72CFB" w:rsidRDefault="00A72CFB" w:rsidP="00A72CFB">
            <w:pPr>
              <w:jc w:val="both"/>
            </w:pPr>
          </w:p>
        </w:tc>
        <w:tc>
          <w:tcPr>
            <w:tcW w:w="4762" w:type="dxa"/>
            <w:tcBorders>
              <w:top w:val="nil"/>
              <w:left w:val="nil"/>
              <w:bottom w:val="nil"/>
              <w:right w:val="single" w:sz="2" w:space="0" w:color="000000"/>
            </w:tcBorders>
            <w:shd w:val="clear" w:color="auto" w:fill="D2CAB6" w:themeFill="background2" w:themeFillShade="E6"/>
            <w:hideMark/>
          </w:tcPr>
          <w:p w14:paraId="18E60385" w14:textId="77777777" w:rsidR="00A72CFB" w:rsidRPr="00A72CFB" w:rsidRDefault="00A72CFB" w:rsidP="00A72CFB">
            <w:pPr>
              <w:jc w:val="both"/>
            </w:pPr>
            <w:r w:rsidRPr="00A72CFB">
              <w:t>- Pokles podílu osob ve věku 25-34 let s dosaženým vysokoškolským vzděláním.</w:t>
            </w:r>
          </w:p>
        </w:tc>
        <w:tc>
          <w:tcPr>
            <w:tcW w:w="4762" w:type="dxa"/>
            <w:tcBorders>
              <w:top w:val="nil"/>
              <w:left w:val="nil"/>
              <w:bottom w:val="nil"/>
              <w:right w:val="nil"/>
            </w:tcBorders>
            <w:shd w:val="clear" w:color="auto" w:fill="C4ECF8" w:themeFill="text2" w:themeFillTint="33"/>
            <w:hideMark/>
          </w:tcPr>
          <w:p w14:paraId="4B21B738" w14:textId="16F66AD3" w:rsidR="00A72CFB" w:rsidRPr="00A72CFB" w:rsidRDefault="00A72CFB" w:rsidP="00A72CFB">
            <w:pPr>
              <w:jc w:val="both"/>
            </w:pPr>
            <w:r w:rsidRPr="00A72CFB">
              <w:t>- Nárůst podílu žáků s</w:t>
            </w:r>
            <w:r w:rsidR="00616687">
              <w:t> normovanou finanční náročností</w:t>
            </w:r>
            <w:r w:rsidRPr="00A72CFB">
              <w:t xml:space="preserve"> v ZŠ.</w:t>
            </w:r>
          </w:p>
        </w:tc>
      </w:tr>
      <w:tr w:rsidR="00AE457D" w:rsidRPr="00A72CFB" w14:paraId="63DF9FE7" w14:textId="77777777" w:rsidTr="009A58B0">
        <w:trPr>
          <w:cantSplit/>
          <w:tblCellSpacing w:w="0" w:type="dxa"/>
          <w:jc w:val="center"/>
        </w:trPr>
        <w:tc>
          <w:tcPr>
            <w:tcW w:w="4762" w:type="dxa"/>
            <w:tcBorders>
              <w:top w:val="nil"/>
              <w:left w:val="nil"/>
              <w:bottom w:val="nil"/>
              <w:right w:val="single" w:sz="2" w:space="0" w:color="000000"/>
            </w:tcBorders>
            <w:shd w:val="clear" w:color="auto" w:fill="D3EBDA" w:themeFill="accent5" w:themeFillTint="33"/>
          </w:tcPr>
          <w:p w14:paraId="036AD390" w14:textId="77777777" w:rsidR="00A72CFB" w:rsidRPr="00A72CFB" w:rsidRDefault="00A72CFB" w:rsidP="00A72CFB">
            <w:pPr>
              <w:jc w:val="both"/>
            </w:pPr>
          </w:p>
        </w:tc>
        <w:tc>
          <w:tcPr>
            <w:tcW w:w="4762" w:type="dxa"/>
            <w:tcBorders>
              <w:top w:val="nil"/>
              <w:left w:val="nil"/>
              <w:bottom w:val="nil"/>
              <w:right w:val="single" w:sz="2" w:space="0" w:color="000000"/>
            </w:tcBorders>
            <w:shd w:val="clear" w:color="auto" w:fill="D2CAB6" w:themeFill="background2" w:themeFillShade="E6"/>
          </w:tcPr>
          <w:p w14:paraId="3442DB4F" w14:textId="77777777" w:rsidR="00A72CFB" w:rsidRPr="00A72CFB" w:rsidRDefault="00A72CFB" w:rsidP="00A72CFB">
            <w:pPr>
              <w:jc w:val="both"/>
            </w:pPr>
          </w:p>
        </w:tc>
        <w:tc>
          <w:tcPr>
            <w:tcW w:w="4762" w:type="dxa"/>
            <w:tcBorders>
              <w:top w:val="nil"/>
              <w:left w:val="nil"/>
              <w:bottom w:val="nil"/>
              <w:right w:val="nil"/>
            </w:tcBorders>
            <w:shd w:val="clear" w:color="auto" w:fill="C4ECF8" w:themeFill="text2" w:themeFillTint="33"/>
            <w:hideMark/>
          </w:tcPr>
          <w:p w14:paraId="03E42EAF" w14:textId="77777777" w:rsidR="00A72CFB" w:rsidRPr="00A72CFB" w:rsidRDefault="00A72CFB" w:rsidP="00A72CFB">
            <w:pPr>
              <w:jc w:val="both"/>
            </w:pPr>
            <w:r w:rsidRPr="00A72CFB">
              <w:t>- Mírný nárůst podílu dětí a žáků vzdělávaných ve speciálních třídách MŠ a ZŠ.</w:t>
            </w:r>
          </w:p>
        </w:tc>
      </w:tr>
    </w:tbl>
    <w:p w14:paraId="2E2EAED3" w14:textId="3741C658" w:rsidR="008A21D1" w:rsidRPr="003B5652" w:rsidRDefault="003B5652" w:rsidP="00406B45">
      <w:pPr>
        <w:pStyle w:val="Nadpis3"/>
      </w:pPr>
      <w:bookmarkStart w:id="13" w:name="_Toc212712711"/>
      <w:r>
        <w:lastRenderedPageBreak/>
        <w:t xml:space="preserve">Konkrétní zjištění podle </w:t>
      </w:r>
      <w:r w:rsidR="003C2F29">
        <w:t xml:space="preserve">dotčených </w:t>
      </w:r>
      <w:r>
        <w:t>tematických oblastí</w:t>
      </w:r>
      <w:r w:rsidR="00A20488" w:rsidRPr="00377DB9">
        <w:t>:</w:t>
      </w:r>
      <w:bookmarkEnd w:id="13"/>
    </w:p>
    <w:bookmarkEnd w:id="10"/>
    <w:p w14:paraId="2D62FB1E" w14:textId="77777777" w:rsidR="00897CBF" w:rsidRPr="00897CBF" w:rsidRDefault="00897CBF" w:rsidP="00897CBF">
      <w:pPr>
        <w:pStyle w:val="Nadpis4"/>
      </w:pPr>
      <w:r w:rsidRPr="00897CBF">
        <w:t>Financování</w:t>
      </w:r>
    </w:p>
    <w:p w14:paraId="3B551910" w14:textId="31453E2B" w:rsidR="003A05DA" w:rsidRDefault="00E95517" w:rsidP="000D73BD">
      <w:pPr>
        <w:spacing w:line="276" w:lineRule="auto"/>
        <w:jc w:val="both"/>
        <w:rPr>
          <w:szCs w:val="22"/>
        </w:rPr>
      </w:pPr>
      <w:r w:rsidRPr="00F04724">
        <w:rPr>
          <w:b/>
          <w:bCs/>
          <w:szCs w:val="22"/>
        </w:rPr>
        <w:t>Podíl veřejných výdajů na školství k výdajům veřejných rozpočtů</w:t>
      </w:r>
      <w:r w:rsidRPr="00F04724">
        <w:rPr>
          <w:szCs w:val="22"/>
        </w:rPr>
        <w:t xml:space="preserve"> po letech nárůstu klesl už v roce 2020, až do roku 2022 si držel stabilní hodnotu. V roce 2023 je zřetelný další pokles.</w:t>
      </w:r>
      <w:r w:rsidR="00A43428" w:rsidRPr="00F04724">
        <w:rPr>
          <w:szCs w:val="22"/>
        </w:rPr>
        <w:t xml:space="preserve"> Pokles je zde nejzřetelnější </w:t>
      </w:r>
      <w:r w:rsidR="000E2507" w:rsidRPr="00F04724">
        <w:rPr>
          <w:szCs w:val="22"/>
        </w:rPr>
        <w:t>ze</w:t>
      </w:r>
      <w:r w:rsidR="00A43428" w:rsidRPr="00F04724">
        <w:rPr>
          <w:szCs w:val="22"/>
        </w:rPr>
        <w:t xml:space="preserve"> skupin</w:t>
      </w:r>
      <w:r w:rsidR="000E2507" w:rsidRPr="00F04724">
        <w:rPr>
          <w:szCs w:val="22"/>
        </w:rPr>
        <w:t>y</w:t>
      </w:r>
      <w:r w:rsidR="00A43428" w:rsidRPr="00F04724">
        <w:rPr>
          <w:szCs w:val="22"/>
        </w:rPr>
        <w:t xml:space="preserve"> indikátorů v oblasti Financování. Od roku 2021 začalo docházek k poklesu také u</w:t>
      </w:r>
      <w:r w:rsidR="000D73BD" w:rsidRPr="00F04724">
        <w:rPr>
          <w:szCs w:val="22"/>
        </w:rPr>
        <w:t> </w:t>
      </w:r>
      <w:r w:rsidR="00A43428" w:rsidRPr="00F04724">
        <w:rPr>
          <w:szCs w:val="22"/>
        </w:rPr>
        <w:t>podíl</w:t>
      </w:r>
      <w:r w:rsidR="000D73BD" w:rsidRPr="00F04724">
        <w:rPr>
          <w:szCs w:val="22"/>
        </w:rPr>
        <w:t>u</w:t>
      </w:r>
      <w:r w:rsidR="00A43428" w:rsidRPr="00F04724">
        <w:rPr>
          <w:szCs w:val="22"/>
        </w:rPr>
        <w:t xml:space="preserve"> veřejných výdajů na vzdělávání a školské služby k HDP.</w:t>
      </w:r>
    </w:p>
    <w:p w14:paraId="34B2961D" w14:textId="39BC8FA1" w:rsidR="005D1EE8" w:rsidRPr="00273C6C" w:rsidRDefault="00273C6C" w:rsidP="00273C6C">
      <w:pPr>
        <w:spacing w:line="276" w:lineRule="auto"/>
        <w:jc w:val="both"/>
        <w:rPr>
          <w:szCs w:val="22"/>
        </w:rPr>
      </w:pPr>
      <w:r w:rsidRPr="00273C6C">
        <w:rPr>
          <w:noProof/>
        </w:rPr>
        <w:drawing>
          <wp:inline distT="0" distB="0" distL="0" distR="0" wp14:anchorId="17B588C4" wp14:editId="3C08D412">
            <wp:extent cx="9071610" cy="328295"/>
            <wp:effectExtent l="0" t="0" r="0" b="0"/>
            <wp:docPr id="917230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71610" cy="328295"/>
                    </a:xfrm>
                    <a:prstGeom prst="rect">
                      <a:avLst/>
                    </a:prstGeom>
                    <a:noFill/>
                    <a:ln>
                      <a:noFill/>
                    </a:ln>
                  </pic:spPr>
                </pic:pic>
              </a:graphicData>
            </a:graphic>
          </wp:inline>
        </w:drawing>
      </w:r>
      <w:r w:rsidR="005C1793" w:rsidRPr="005C1793">
        <w:rPr>
          <w:sz w:val="20"/>
          <w:szCs w:val="20"/>
        </w:rPr>
        <w:t>Pozn.</w:t>
      </w:r>
      <w:r w:rsidR="00935411">
        <w:rPr>
          <w:rStyle w:val="Znakapoznpodarou"/>
          <w:sz w:val="23"/>
          <w:szCs w:val="23"/>
        </w:rPr>
        <w:footnoteReference w:id="3"/>
      </w:r>
      <w:r w:rsidR="005C1793">
        <w:rPr>
          <w:sz w:val="23"/>
          <w:szCs w:val="23"/>
        </w:rPr>
        <w:t xml:space="preserve"> </w:t>
      </w:r>
      <w:r w:rsidR="002B1C53">
        <w:rPr>
          <w:rStyle w:val="Znakapoznpodarou"/>
          <w:sz w:val="23"/>
          <w:szCs w:val="23"/>
        </w:rPr>
        <w:footnoteReference w:id="4"/>
      </w:r>
    </w:p>
    <w:p w14:paraId="2C375E55" w14:textId="7EE3D2C1" w:rsidR="003A05DA" w:rsidRDefault="00897CBF" w:rsidP="00897CBF">
      <w:pPr>
        <w:pStyle w:val="Nadpis4"/>
      </w:pPr>
      <w:r>
        <w:t>Pracovníci ve školství</w:t>
      </w:r>
    </w:p>
    <w:p w14:paraId="36888119" w14:textId="10C5AD85" w:rsidR="00A43428" w:rsidRPr="00F04724" w:rsidRDefault="00E95517" w:rsidP="0051139D">
      <w:pPr>
        <w:spacing w:line="276" w:lineRule="auto"/>
        <w:jc w:val="both"/>
        <w:rPr>
          <w:szCs w:val="22"/>
        </w:rPr>
      </w:pPr>
      <w:r w:rsidRPr="00F04724">
        <w:rPr>
          <w:b/>
          <w:bCs/>
          <w:szCs w:val="22"/>
        </w:rPr>
        <w:t>Průměrné platy pedagogických pracovníků v relaci k průměrné mzdě</w:t>
      </w:r>
      <w:r w:rsidR="00F62F5E" w:rsidRPr="00F04724">
        <w:rPr>
          <w:szCs w:val="22"/>
        </w:rPr>
        <w:t xml:space="preserve">, které </w:t>
      </w:r>
      <w:r w:rsidR="001F1063" w:rsidRPr="00F04724">
        <w:rPr>
          <w:szCs w:val="22"/>
        </w:rPr>
        <w:t>v předchozích letech narůstaly,</w:t>
      </w:r>
      <w:r w:rsidRPr="00F04724">
        <w:rPr>
          <w:szCs w:val="22"/>
        </w:rPr>
        <w:t xml:space="preserve"> začaly klesat od roku 2022 plošně ve všech sledovaných skupinách </w:t>
      </w:r>
      <w:r w:rsidR="001F1063" w:rsidRPr="00F04724">
        <w:rPr>
          <w:szCs w:val="22"/>
        </w:rPr>
        <w:t xml:space="preserve">pedagogických pracovníků </w:t>
      </w:r>
      <w:r w:rsidRPr="00F04724">
        <w:rPr>
          <w:szCs w:val="22"/>
        </w:rPr>
        <w:t>a ve všech krajích.</w:t>
      </w:r>
    </w:p>
    <w:p w14:paraId="7A63DD8E" w14:textId="4996564C" w:rsidR="00E95517" w:rsidRPr="00F04724" w:rsidRDefault="00E95517" w:rsidP="0051139D">
      <w:pPr>
        <w:spacing w:line="276" w:lineRule="auto"/>
        <w:jc w:val="both"/>
        <w:rPr>
          <w:szCs w:val="22"/>
        </w:rPr>
      </w:pPr>
      <w:r w:rsidRPr="003C7124">
        <w:rPr>
          <w:b/>
          <w:bCs/>
          <w:szCs w:val="22"/>
        </w:rPr>
        <w:t xml:space="preserve">U nepedagogických pracovníků je také možné sledovat </w:t>
      </w:r>
      <w:r w:rsidR="00A43428" w:rsidRPr="003C7124">
        <w:rPr>
          <w:b/>
          <w:bCs/>
          <w:szCs w:val="22"/>
        </w:rPr>
        <w:t xml:space="preserve">v posledních letech </w:t>
      </w:r>
      <w:r w:rsidRPr="003C7124">
        <w:rPr>
          <w:b/>
          <w:bCs/>
          <w:szCs w:val="22"/>
        </w:rPr>
        <w:t>pokles</w:t>
      </w:r>
      <w:r w:rsidRPr="00F04724">
        <w:rPr>
          <w:szCs w:val="22"/>
        </w:rPr>
        <w:t>, je ovšem pozvolnější a trend není plošný. V některých krajích se naopak v roce 2023 poměr platů nepedagogických pracovníků ve vztahu k průměrné mzdě navýšil. Šlo o kraj Královéhradecký, Olomoucký, Liberecký, Plzeňský, Ústecký, Moravskoslezský kraj</w:t>
      </w:r>
      <w:r w:rsidR="002D71A8" w:rsidRPr="00F04724">
        <w:rPr>
          <w:szCs w:val="22"/>
        </w:rPr>
        <w:t xml:space="preserve"> a o kraj Vysočina.</w:t>
      </w:r>
    </w:p>
    <w:p w14:paraId="6C8B4545" w14:textId="44D00CD7" w:rsidR="003A05DA" w:rsidRPr="005D1EE8" w:rsidRDefault="00273C6C">
      <w:pPr>
        <w:spacing w:line="276" w:lineRule="auto"/>
        <w:rPr>
          <w:sz w:val="23"/>
          <w:szCs w:val="23"/>
        </w:rPr>
      </w:pPr>
      <w:r w:rsidRPr="00273C6C">
        <w:rPr>
          <w:noProof/>
        </w:rPr>
        <w:lastRenderedPageBreak/>
        <w:drawing>
          <wp:inline distT="0" distB="0" distL="0" distR="0" wp14:anchorId="181E432E" wp14:editId="6304008A">
            <wp:extent cx="9071610" cy="1541145"/>
            <wp:effectExtent l="0" t="0" r="0" b="1905"/>
            <wp:docPr id="4390205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71610" cy="1541145"/>
                    </a:xfrm>
                    <a:prstGeom prst="rect">
                      <a:avLst/>
                    </a:prstGeom>
                    <a:noFill/>
                    <a:ln>
                      <a:noFill/>
                    </a:ln>
                  </pic:spPr>
                </pic:pic>
              </a:graphicData>
            </a:graphic>
          </wp:inline>
        </w:drawing>
      </w:r>
    </w:p>
    <w:p w14:paraId="0AE9073C" w14:textId="4557AA69" w:rsidR="00E9053A" w:rsidRPr="00A43428" w:rsidRDefault="00E9053A" w:rsidP="000F1F02">
      <w:pPr>
        <w:jc w:val="both"/>
        <w:rPr>
          <w:sz w:val="23"/>
          <w:szCs w:val="23"/>
        </w:rPr>
      </w:pPr>
      <w:r w:rsidRPr="00F952E5">
        <w:rPr>
          <w:b/>
          <w:bCs/>
          <w:sz w:val="23"/>
          <w:szCs w:val="23"/>
        </w:rPr>
        <w:t>Počty úvazků začínajících pedagogů</w:t>
      </w:r>
      <w:r w:rsidRPr="00A43428">
        <w:rPr>
          <w:sz w:val="23"/>
          <w:szCs w:val="23"/>
        </w:rPr>
        <w:t xml:space="preserve">, které narůstaly od roku 2019, se v roce 2024 začaly snižovat. Výjimkou je jen segment mateřských škol, kde počty </w:t>
      </w:r>
      <w:r w:rsidR="00A43428">
        <w:rPr>
          <w:sz w:val="23"/>
          <w:szCs w:val="23"/>
        </w:rPr>
        <w:t xml:space="preserve">začínajících </w:t>
      </w:r>
      <w:r w:rsidRPr="00A43428">
        <w:rPr>
          <w:sz w:val="23"/>
          <w:szCs w:val="23"/>
        </w:rPr>
        <w:t>učitelů i nadále rostou.</w:t>
      </w:r>
    </w:p>
    <w:p w14:paraId="66D62968" w14:textId="617787F7" w:rsidR="003A05DA" w:rsidRPr="003A05DA" w:rsidRDefault="00E9053A" w:rsidP="008926E4">
      <w:pPr>
        <w:jc w:val="both"/>
        <w:rPr>
          <w:sz w:val="23"/>
          <w:szCs w:val="23"/>
        </w:rPr>
      </w:pPr>
      <w:r w:rsidRPr="00A43428">
        <w:rPr>
          <w:sz w:val="23"/>
          <w:szCs w:val="23"/>
        </w:rPr>
        <w:t>I u základních a středních škol, přes celkově klesající trend, ještě v roce 2024 na úrovni některých krajů pokračoval nárůst úvazků. U základních škol šlo o</w:t>
      </w:r>
      <w:r w:rsidR="005A5E33">
        <w:rPr>
          <w:sz w:val="23"/>
          <w:szCs w:val="23"/>
        </w:rPr>
        <w:t> </w:t>
      </w:r>
      <w:r w:rsidRPr="00A43428">
        <w:rPr>
          <w:sz w:val="23"/>
          <w:szCs w:val="23"/>
        </w:rPr>
        <w:t>kraj Olomoucký a Zlínský, u středních škol o Hl. m. Prahu, kraj Středočeský, Plzeňský, Jihomoravský a Vysočinu.</w:t>
      </w:r>
    </w:p>
    <w:p w14:paraId="670E0EF1" w14:textId="59CE341F" w:rsidR="003A05DA" w:rsidRPr="00AC0617" w:rsidRDefault="00273C6C">
      <w:pPr>
        <w:spacing w:line="276" w:lineRule="auto"/>
        <w:rPr>
          <w:sz w:val="23"/>
          <w:szCs w:val="23"/>
        </w:rPr>
      </w:pPr>
      <w:r w:rsidRPr="00273C6C">
        <w:rPr>
          <w:noProof/>
        </w:rPr>
        <w:drawing>
          <wp:inline distT="0" distB="0" distL="0" distR="0" wp14:anchorId="1A82ED94" wp14:editId="77AEF5D5">
            <wp:extent cx="9071610" cy="770255"/>
            <wp:effectExtent l="0" t="0" r="0" b="0"/>
            <wp:docPr id="1540637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1610" cy="770255"/>
                    </a:xfrm>
                    <a:prstGeom prst="rect">
                      <a:avLst/>
                    </a:prstGeom>
                    <a:noFill/>
                    <a:ln>
                      <a:noFill/>
                    </a:ln>
                  </pic:spPr>
                </pic:pic>
              </a:graphicData>
            </a:graphic>
          </wp:inline>
        </w:drawing>
      </w:r>
    </w:p>
    <w:p w14:paraId="56A0EB74" w14:textId="156AD5DF" w:rsidR="00E9053A" w:rsidRPr="00AE7EAD" w:rsidRDefault="00E9053A" w:rsidP="00C90C80">
      <w:pPr>
        <w:jc w:val="both"/>
        <w:rPr>
          <w:szCs w:val="22"/>
        </w:rPr>
      </w:pPr>
      <w:r w:rsidRPr="00AE7EAD">
        <w:rPr>
          <w:b/>
          <w:bCs/>
          <w:szCs w:val="22"/>
        </w:rPr>
        <w:t>Podíl nekvalifikovaných učitelů</w:t>
      </w:r>
      <w:r w:rsidRPr="00AE7EAD">
        <w:rPr>
          <w:szCs w:val="22"/>
        </w:rPr>
        <w:t xml:space="preserve">, který od roku 2017 postupně narůstal, se v roce 2024 začal </w:t>
      </w:r>
      <w:r w:rsidR="00935411">
        <w:rPr>
          <w:szCs w:val="22"/>
        </w:rPr>
        <w:t xml:space="preserve">mírně </w:t>
      </w:r>
      <w:r w:rsidRPr="00AE7EAD">
        <w:rPr>
          <w:szCs w:val="22"/>
        </w:rPr>
        <w:t>snižovat. Výjimkou byli učitelé 1. stupně ZŠ, kde se pozitivní trend ještě nezačal projevovat. Obrat trendu se týkal většiny krajů, nebyl však plošný, v Plzeňském, Olomouckém a Moravskoslezském kraji ještě mírný nárůst podílu nekvalifikovaných pedagogů pokračoval.</w:t>
      </w:r>
    </w:p>
    <w:p w14:paraId="42AA000A" w14:textId="24AE1C5F" w:rsidR="00E9053A" w:rsidRPr="00AE7EAD" w:rsidRDefault="00E9053A" w:rsidP="00C90C80">
      <w:pPr>
        <w:jc w:val="both"/>
        <w:rPr>
          <w:szCs w:val="22"/>
        </w:rPr>
      </w:pPr>
      <w:r w:rsidRPr="00AE7EAD">
        <w:rPr>
          <w:szCs w:val="22"/>
        </w:rPr>
        <w:t xml:space="preserve">Vysoký </w:t>
      </w:r>
      <w:r w:rsidR="009C47EE" w:rsidRPr="00AE7EAD">
        <w:rPr>
          <w:szCs w:val="22"/>
        </w:rPr>
        <w:t xml:space="preserve">podíl </w:t>
      </w:r>
      <w:r w:rsidR="00A43428" w:rsidRPr="00AE7EAD">
        <w:rPr>
          <w:szCs w:val="22"/>
        </w:rPr>
        <w:t>nekvalifikovaných učitelů</w:t>
      </w:r>
      <w:r w:rsidRPr="00AE7EAD">
        <w:rPr>
          <w:szCs w:val="22"/>
        </w:rPr>
        <w:t xml:space="preserve"> 1. stupně</w:t>
      </w:r>
      <w:r w:rsidR="00A43428" w:rsidRPr="00AE7EAD">
        <w:rPr>
          <w:szCs w:val="22"/>
        </w:rPr>
        <w:t xml:space="preserve"> </w:t>
      </w:r>
      <w:r w:rsidR="000624FB" w:rsidRPr="00AE7EAD">
        <w:rPr>
          <w:szCs w:val="22"/>
        </w:rPr>
        <w:t xml:space="preserve">zůstává </w:t>
      </w:r>
      <w:r w:rsidRPr="00AE7EAD">
        <w:rPr>
          <w:szCs w:val="22"/>
        </w:rPr>
        <w:t>v Praze, Středočeském a Ústeckém kraji, učitelů 2. stupně v kraji Středočeském a Libereckém</w:t>
      </w:r>
      <w:r w:rsidR="00A318C1">
        <w:rPr>
          <w:szCs w:val="22"/>
        </w:rPr>
        <w:t>. U</w:t>
      </w:r>
      <w:r w:rsidRPr="00AE7EAD">
        <w:rPr>
          <w:szCs w:val="22"/>
        </w:rPr>
        <w:t xml:space="preserve"> učitelů SŠ </w:t>
      </w:r>
      <w:r w:rsidR="009376E9">
        <w:rPr>
          <w:szCs w:val="22"/>
        </w:rPr>
        <w:t>jde o</w:t>
      </w:r>
      <w:r w:rsidRPr="00AE7EAD">
        <w:rPr>
          <w:szCs w:val="22"/>
        </w:rPr>
        <w:t xml:space="preserve"> kraj Středočesk</w:t>
      </w:r>
      <w:r w:rsidR="009376E9">
        <w:rPr>
          <w:szCs w:val="22"/>
        </w:rPr>
        <w:t>ý</w:t>
      </w:r>
      <w:r w:rsidRPr="00AE7EAD">
        <w:rPr>
          <w:szCs w:val="22"/>
        </w:rPr>
        <w:t>.</w:t>
      </w:r>
    </w:p>
    <w:p w14:paraId="525BF8B4" w14:textId="1D60C639" w:rsidR="003A05DA" w:rsidRPr="00AE7EAD" w:rsidRDefault="00E9053A" w:rsidP="00C90C80">
      <w:pPr>
        <w:jc w:val="both"/>
        <w:rPr>
          <w:szCs w:val="22"/>
        </w:rPr>
      </w:pPr>
      <w:r w:rsidRPr="00AE7EAD">
        <w:rPr>
          <w:szCs w:val="22"/>
        </w:rPr>
        <w:t>I přes mírné zlepšení zůstává nejvyšší podíl nekvalifikovaných učitelů v kraji Karlovarském.</w:t>
      </w:r>
    </w:p>
    <w:p w14:paraId="684CB4D2" w14:textId="15F30624" w:rsidR="003A05DA" w:rsidRPr="00AC0617" w:rsidRDefault="00273C6C">
      <w:pPr>
        <w:spacing w:line="276" w:lineRule="auto"/>
        <w:rPr>
          <w:sz w:val="23"/>
          <w:szCs w:val="23"/>
        </w:rPr>
      </w:pPr>
      <w:r w:rsidRPr="00273C6C">
        <w:rPr>
          <w:noProof/>
        </w:rPr>
        <w:drawing>
          <wp:inline distT="0" distB="0" distL="0" distR="0" wp14:anchorId="7B4671B0" wp14:editId="1C1FB493">
            <wp:extent cx="9071610" cy="929640"/>
            <wp:effectExtent l="0" t="0" r="0" b="3810"/>
            <wp:docPr id="29161248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1610" cy="929640"/>
                    </a:xfrm>
                    <a:prstGeom prst="rect">
                      <a:avLst/>
                    </a:prstGeom>
                    <a:noFill/>
                    <a:ln>
                      <a:noFill/>
                    </a:ln>
                  </pic:spPr>
                </pic:pic>
              </a:graphicData>
            </a:graphic>
          </wp:inline>
        </w:drawing>
      </w:r>
    </w:p>
    <w:p w14:paraId="7D89FB61" w14:textId="77777777" w:rsidR="00897CBF" w:rsidRPr="00897CBF" w:rsidRDefault="00897CBF" w:rsidP="00897CBF">
      <w:pPr>
        <w:pStyle w:val="Nadpis4"/>
      </w:pPr>
      <w:r w:rsidRPr="00897CBF">
        <w:lastRenderedPageBreak/>
        <w:t>Školy a zřizovatelé</w:t>
      </w:r>
    </w:p>
    <w:p w14:paraId="58572F1D" w14:textId="3AFFD58A" w:rsidR="00E9053A" w:rsidRPr="00AE7EAD" w:rsidRDefault="00BF583F" w:rsidP="00C9481D">
      <w:pPr>
        <w:jc w:val="both"/>
        <w:rPr>
          <w:szCs w:val="22"/>
        </w:rPr>
      </w:pPr>
      <w:r w:rsidRPr="000960EF">
        <w:rPr>
          <w:b/>
          <w:bCs/>
          <w:szCs w:val="22"/>
        </w:rPr>
        <w:t>Růst kapacity základních škol</w:t>
      </w:r>
      <w:r w:rsidRPr="00BF583F">
        <w:rPr>
          <w:szCs w:val="22"/>
        </w:rPr>
        <w:t xml:space="preserve"> se zastavil.</w:t>
      </w:r>
      <w:r>
        <w:rPr>
          <w:szCs w:val="22"/>
        </w:rPr>
        <w:t xml:space="preserve"> </w:t>
      </w:r>
      <w:r w:rsidR="00E9053A" w:rsidRPr="00AE7EAD">
        <w:rPr>
          <w:szCs w:val="22"/>
        </w:rPr>
        <w:t>K poklesu kapacity došlo v pěti krajích: hlavním městě Praze, v kraji Ústeckém, Libereckém, Královéhradeckém a Zlínském.</w:t>
      </w:r>
    </w:p>
    <w:p w14:paraId="422BA7B0" w14:textId="7DB540E4" w:rsidR="009F65F4" w:rsidRPr="00AE7EAD" w:rsidRDefault="00E9053A" w:rsidP="00C9481D">
      <w:pPr>
        <w:jc w:val="both"/>
        <w:rPr>
          <w:szCs w:val="22"/>
        </w:rPr>
      </w:pPr>
      <w:r w:rsidRPr="00F96B91">
        <w:rPr>
          <w:b/>
          <w:bCs/>
          <w:szCs w:val="22"/>
        </w:rPr>
        <w:t>Kapacita středních škol</w:t>
      </w:r>
      <w:r w:rsidRPr="00AE7EAD">
        <w:rPr>
          <w:szCs w:val="22"/>
        </w:rPr>
        <w:t xml:space="preserve"> po období poklesu</w:t>
      </w:r>
      <w:r w:rsidR="00E33FC8" w:rsidRPr="00AE7EAD">
        <w:rPr>
          <w:szCs w:val="22"/>
        </w:rPr>
        <w:t xml:space="preserve"> naopak</w:t>
      </w:r>
      <w:r w:rsidRPr="00AE7EAD">
        <w:rPr>
          <w:szCs w:val="22"/>
        </w:rPr>
        <w:t xml:space="preserve"> již třetím rokem roste. Trend však není ve všech krajích stejný. Za nárůstem kapacity středních škol v</w:t>
      </w:r>
      <w:r w:rsidR="00C9481D" w:rsidRPr="00AE7EAD">
        <w:rPr>
          <w:szCs w:val="22"/>
        </w:rPr>
        <w:t> </w:t>
      </w:r>
      <w:r w:rsidRPr="00AE7EAD">
        <w:rPr>
          <w:szCs w:val="22"/>
        </w:rPr>
        <w:t>roce 2024 je především nárůst v Praze, Plzeňském a Středočeském kraji.</w:t>
      </w:r>
    </w:p>
    <w:p w14:paraId="122C7B12" w14:textId="763F9B0D" w:rsidR="009F65F4" w:rsidRPr="00F04724" w:rsidRDefault="00273C6C" w:rsidP="00F04724">
      <w:pPr>
        <w:jc w:val="both"/>
        <w:rPr>
          <w:sz w:val="23"/>
          <w:szCs w:val="23"/>
        </w:rPr>
      </w:pPr>
      <w:r w:rsidRPr="00273C6C">
        <w:rPr>
          <w:noProof/>
        </w:rPr>
        <w:drawing>
          <wp:inline distT="0" distB="0" distL="0" distR="0" wp14:anchorId="6D61303B" wp14:editId="0A68BACD">
            <wp:extent cx="9071610" cy="468630"/>
            <wp:effectExtent l="0" t="0" r="0" b="7620"/>
            <wp:docPr id="71931489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71610" cy="468630"/>
                    </a:xfrm>
                    <a:prstGeom prst="rect">
                      <a:avLst/>
                    </a:prstGeom>
                    <a:noFill/>
                    <a:ln>
                      <a:noFill/>
                    </a:ln>
                  </pic:spPr>
                </pic:pic>
              </a:graphicData>
            </a:graphic>
          </wp:inline>
        </w:drawing>
      </w:r>
    </w:p>
    <w:p w14:paraId="63CE0F49" w14:textId="77777777" w:rsidR="00FA42EB" w:rsidRPr="00FA42EB" w:rsidRDefault="00FA42EB" w:rsidP="00FA42EB">
      <w:pPr>
        <w:pStyle w:val="Nadpis4"/>
      </w:pPr>
      <w:r w:rsidRPr="00FA42EB">
        <w:t>Účast na vzdělávání</w:t>
      </w:r>
    </w:p>
    <w:p w14:paraId="10357156" w14:textId="6F08E8DB" w:rsidR="00E9053A" w:rsidRPr="00AE7EAD" w:rsidRDefault="00E9053A" w:rsidP="0075199C">
      <w:pPr>
        <w:jc w:val="both"/>
        <w:rPr>
          <w:rFonts w:cs="Calibri"/>
          <w:szCs w:val="22"/>
        </w:rPr>
      </w:pPr>
      <w:r w:rsidRPr="006A3607">
        <w:rPr>
          <w:rFonts w:cs="Calibri"/>
          <w:b/>
          <w:bCs/>
          <w:szCs w:val="22"/>
        </w:rPr>
        <w:t>Podíl žáků nastupujících do 1. ročníku ZŠ s odkladem povinné školní docházky</w:t>
      </w:r>
      <w:r w:rsidRPr="00AE7EAD">
        <w:rPr>
          <w:rFonts w:cs="Calibri"/>
          <w:szCs w:val="22"/>
        </w:rPr>
        <w:t xml:space="preserve"> poklesl ve všech krajích, ve většině krajů mírně klesá již druhým rokem. Výjimkou je kraj Olomoucký s nejvyšším podílem žáků s odkladem školní docházky, kde došlo k mírnému poklesu až v roce 2024.</w:t>
      </w:r>
      <w:r w:rsidR="00BC54D5">
        <w:rPr>
          <w:rFonts w:cs="Calibri"/>
          <w:szCs w:val="22"/>
        </w:rPr>
        <w:t xml:space="preserve"> Zrychlení nárůstu podílu v roce </w:t>
      </w:r>
      <w:r w:rsidR="00704190">
        <w:rPr>
          <w:rFonts w:cs="Calibri"/>
          <w:szCs w:val="22"/>
        </w:rPr>
        <w:t>2021 mohlo být důsledkem epidemie onemocnění covid-19.</w:t>
      </w:r>
    </w:p>
    <w:p w14:paraId="1CC6A69F" w14:textId="2AB7E62F" w:rsidR="009F65F4" w:rsidRPr="00AE7EAD" w:rsidRDefault="00E9053A" w:rsidP="0075199C">
      <w:pPr>
        <w:jc w:val="both"/>
        <w:rPr>
          <w:rFonts w:eastAsia="Times New Roman" w:cs="Calibri"/>
          <w:color w:val="000000"/>
          <w:szCs w:val="22"/>
          <w:lang w:eastAsia="cs-CZ"/>
        </w:rPr>
      </w:pPr>
      <w:r w:rsidRPr="00C226FC">
        <w:rPr>
          <w:rFonts w:cs="Calibri"/>
          <w:b/>
          <w:bCs/>
          <w:szCs w:val="22"/>
        </w:rPr>
        <w:t>Podíl dětí ve věku 6 let navštěvujících zařízení předškolního vzdělávání z dané věkové skupiny</w:t>
      </w:r>
      <w:r w:rsidR="00A10A52">
        <w:rPr>
          <w:rFonts w:cs="Calibri"/>
          <w:szCs w:val="22"/>
        </w:rPr>
        <w:t>, který s odklady povinné školní docházky souvisí,</w:t>
      </w:r>
      <w:r w:rsidRPr="009A6C91">
        <w:rPr>
          <w:rFonts w:cs="Calibri"/>
          <w:szCs w:val="22"/>
        </w:rPr>
        <w:t xml:space="preserve"> ve většině krajů mírně klesá už od roku 202</w:t>
      </w:r>
      <w:r w:rsidR="002418C1">
        <w:rPr>
          <w:rFonts w:cs="Calibri"/>
          <w:szCs w:val="22"/>
        </w:rPr>
        <w:t>2</w:t>
      </w:r>
      <w:r w:rsidRPr="009A6C91">
        <w:rPr>
          <w:rFonts w:cs="Calibri"/>
          <w:szCs w:val="22"/>
        </w:rPr>
        <w:t>. Karlovarský a</w:t>
      </w:r>
      <w:r w:rsidR="0075199C" w:rsidRPr="009A6C91">
        <w:rPr>
          <w:rFonts w:cs="Calibri"/>
          <w:szCs w:val="22"/>
        </w:rPr>
        <w:t> </w:t>
      </w:r>
      <w:r w:rsidRPr="009A6C91">
        <w:rPr>
          <w:rFonts w:cs="Calibri"/>
          <w:szCs w:val="22"/>
        </w:rPr>
        <w:t xml:space="preserve">Pardubický kraj zaznamenaly </w:t>
      </w:r>
      <w:r w:rsidR="00D06717" w:rsidRPr="009A6C91">
        <w:rPr>
          <w:rFonts w:cs="Calibri"/>
          <w:szCs w:val="22"/>
        </w:rPr>
        <w:t>po poklesu v ro</w:t>
      </w:r>
      <w:r w:rsidR="009712BF" w:rsidRPr="009A6C91">
        <w:rPr>
          <w:rFonts w:cs="Calibri"/>
          <w:szCs w:val="22"/>
        </w:rPr>
        <w:t>c</w:t>
      </w:r>
      <w:r w:rsidR="00D06717" w:rsidRPr="009A6C91">
        <w:rPr>
          <w:rFonts w:cs="Calibri"/>
          <w:szCs w:val="22"/>
        </w:rPr>
        <w:t>e 2023</w:t>
      </w:r>
      <w:r w:rsidR="009712BF" w:rsidRPr="009A6C91">
        <w:rPr>
          <w:rFonts w:cs="Calibri"/>
          <w:szCs w:val="22"/>
        </w:rPr>
        <w:t xml:space="preserve"> pět mírný nárůst v roce 2024.</w:t>
      </w:r>
    </w:p>
    <w:p w14:paraId="7E0B9670" w14:textId="5C084439" w:rsidR="009F65F4" w:rsidRDefault="00273C6C">
      <w:pPr>
        <w:spacing w:line="276" w:lineRule="auto"/>
        <w:rPr>
          <w:sz w:val="23"/>
          <w:szCs w:val="23"/>
        </w:rPr>
      </w:pPr>
      <w:r w:rsidRPr="00273C6C">
        <w:rPr>
          <w:noProof/>
        </w:rPr>
        <w:drawing>
          <wp:inline distT="0" distB="0" distL="0" distR="0" wp14:anchorId="217192D0" wp14:editId="195DAEB8">
            <wp:extent cx="9071610" cy="468630"/>
            <wp:effectExtent l="0" t="0" r="0" b="7620"/>
            <wp:docPr id="22848702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71610" cy="468630"/>
                    </a:xfrm>
                    <a:prstGeom prst="rect">
                      <a:avLst/>
                    </a:prstGeom>
                    <a:noFill/>
                    <a:ln>
                      <a:noFill/>
                    </a:ln>
                  </pic:spPr>
                </pic:pic>
              </a:graphicData>
            </a:graphic>
          </wp:inline>
        </w:drawing>
      </w:r>
    </w:p>
    <w:p w14:paraId="587862DC" w14:textId="13F1EB5A" w:rsidR="00E9053A" w:rsidRPr="00AE7EAD" w:rsidRDefault="00E9053A" w:rsidP="00AB7C63">
      <w:pPr>
        <w:jc w:val="both"/>
        <w:rPr>
          <w:szCs w:val="22"/>
        </w:rPr>
      </w:pPr>
      <w:r w:rsidRPr="002418C1">
        <w:rPr>
          <w:b/>
          <w:bCs/>
          <w:szCs w:val="22"/>
        </w:rPr>
        <w:t xml:space="preserve">Podíl dětí plnící povinný předškolní ročník z věkové skupiny </w:t>
      </w:r>
      <w:r w:rsidR="00AF7936" w:rsidRPr="002418C1">
        <w:rPr>
          <w:b/>
          <w:bCs/>
          <w:szCs w:val="22"/>
        </w:rPr>
        <w:t>5letých</w:t>
      </w:r>
      <w:r w:rsidR="007B5E20" w:rsidRPr="00AE7EAD">
        <w:rPr>
          <w:szCs w:val="22"/>
        </w:rPr>
        <w:t xml:space="preserve"> </w:t>
      </w:r>
      <w:r w:rsidRPr="00AE7EAD">
        <w:rPr>
          <w:szCs w:val="22"/>
        </w:rPr>
        <w:t>klesá již druhým rokem. V roce 2024 došlo k poklesu ve všech krajích kromě kraje Ústeckého.</w:t>
      </w:r>
    </w:p>
    <w:p w14:paraId="09ED7C38" w14:textId="689A8934" w:rsidR="003C5542" w:rsidRDefault="00E9053A" w:rsidP="00AB7C63">
      <w:pPr>
        <w:jc w:val="both"/>
        <w:rPr>
          <w:szCs w:val="22"/>
        </w:rPr>
      </w:pPr>
      <w:r w:rsidRPr="00AE7EAD">
        <w:rPr>
          <w:szCs w:val="22"/>
        </w:rPr>
        <w:t xml:space="preserve">Druhým rokem také klesá </w:t>
      </w:r>
      <w:r w:rsidRPr="003C5542">
        <w:rPr>
          <w:b/>
          <w:bCs/>
          <w:szCs w:val="22"/>
        </w:rPr>
        <w:t xml:space="preserve">podíl dětí ve věku 5 let </w:t>
      </w:r>
      <w:r w:rsidR="00E33FC8" w:rsidRPr="003C5542">
        <w:rPr>
          <w:b/>
          <w:bCs/>
          <w:szCs w:val="22"/>
        </w:rPr>
        <w:t>navštěvujících MŠ</w:t>
      </w:r>
      <w:r w:rsidR="00E33FC8" w:rsidRPr="00AE7EAD">
        <w:rPr>
          <w:szCs w:val="22"/>
        </w:rPr>
        <w:t xml:space="preserve"> </w:t>
      </w:r>
      <w:r w:rsidRPr="00AE7EAD">
        <w:rPr>
          <w:szCs w:val="22"/>
        </w:rPr>
        <w:t>z dané věkové skupin</w:t>
      </w:r>
      <w:r w:rsidR="00E33FC8" w:rsidRPr="00AE7EAD">
        <w:rPr>
          <w:szCs w:val="22"/>
        </w:rPr>
        <w:t>y</w:t>
      </w:r>
      <w:r w:rsidRPr="00AE7EAD">
        <w:rPr>
          <w:szCs w:val="22"/>
        </w:rPr>
        <w:t xml:space="preserve">, v roce 2024 došlo k nárůstu jen v Ústeckém kraji. </w:t>
      </w:r>
      <w:r w:rsidR="00E33FC8" w:rsidRPr="00AE7EAD">
        <w:rPr>
          <w:szCs w:val="22"/>
        </w:rPr>
        <w:t>Částečnou p</w:t>
      </w:r>
      <w:r w:rsidRPr="00AE7EAD">
        <w:rPr>
          <w:szCs w:val="22"/>
        </w:rPr>
        <w:t>říčinou může být také rostoucí počet dětí, které navštěvují přípravné třídy.</w:t>
      </w:r>
    </w:p>
    <w:p w14:paraId="3F038F68" w14:textId="0C3F07D3" w:rsidR="00E9053A" w:rsidRPr="00AE7EAD" w:rsidRDefault="00E33FC8" w:rsidP="00AB7C63">
      <w:pPr>
        <w:jc w:val="both"/>
        <w:rPr>
          <w:szCs w:val="22"/>
        </w:rPr>
      </w:pPr>
      <w:r w:rsidRPr="00AE7EAD">
        <w:rPr>
          <w:szCs w:val="22"/>
        </w:rPr>
        <w:t>Údaje v</w:t>
      </w:r>
      <w:r w:rsidR="003C5542">
        <w:rPr>
          <w:szCs w:val="22"/>
        </w:rPr>
        <w:t xml:space="preserve"> těchto </w:t>
      </w:r>
      <w:r w:rsidRPr="00AE7EAD">
        <w:rPr>
          <w:szCs w:val="22"/>
        </w:rPr>
        <w:t>časov</w:t>
      </w:r>
      <w:r w:rsidR="003C5542">
        <w:rPr>
          <w:szCs w:val="22"/>
        </w:rPr>
        <w:t>ých</w:t>
      </w:r>
      <w:r w:rsidRPr="00AE7EAD">
        <w:rPr>
          <w:szCs w:val="22"/>
        </w:rPr>
        <w:t xml:space="preserve"> řad</w:t>
      </w:r>
      <w:r w:rsidR="003C5542">
        <w:rPr>
          <w:szCs w:val="22"/>
        </w:rPr>
        <w:t>ách</w:t>
      </w:r>
      <w:r w:rsidRPr="00AE7EAD">
        <w:rPr>
          <w:szCs w:val="22"/>
        </w:rPr>
        <w:t xml:space="preserve"> nezahrnují děti v individuálním vzdělávání.</w:t>
      </w:r>
    </w:p>
    <w:p w14:paraId="679604E8" w14:textId="153569BB" w:rsidR="009F65F4" w:rsidRDefault="00273C6C">
      <w:pPr>
        <w:spacing w:line="276" w:lineRule="auto"/>
        <w:rPr>
          <w:sz w:val="23"/>
          <w:szCs w:val="23"/>
        </w:rPr>
      </w:pPr>
      <w:r w:rsidRPr="00273C6C">
        <w:rPr>
          <w:noProof/>
        </w:rPr>
        <w:drawing>
          <wp:inline distT="0" distB="0" distL="0" distR="0" wp14:anchorId="5870752C" wp14:editId="6E4FA451">
            <wp:extent cx="9071610" cy="468630"/>
            <wp:effectExtent l="0" t="0" r="0" b="7620"/>
            <wp:docPr id="47695388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71610" cy="468630"/>
                    </a:xfrm>
                    <a:prstGeom prst="rect">
                      <a:avLst/>
                    </a:prstGeom>
                    <a:noFill/>
                    <a:ln>
                      <a:noFill/>
                    </a:ln>
                  </pic:spPr>
                </pic:pic>
              </a:graphicData>
            </a:graphic>
          </wp:inline>
        </w:drawing>
      </w:r>
    </w:p>
    <w:p w14:paraId="30038CE9" w14:textId="77777777" w:rsidR="00BA21E8" w:rsidRDefault="00BA21E8">
      <w:pPr>
        <w:spacing w:line="276" w:lineRule="auto"/>
        <w:rPr>
          <w:b/>
          <w:bCs/>
          <w:szCs w:val="22"/>
        </w:rPr>
      </w:pPr>
      <w:r>
        <w:rPr>
          <w:b/>
          <w:bCs/>
          <w:szCs w:val="22"/>
        </w:rPr>
        <w:br w:type="page"/>
      </w:r>
    </w:p>
    <w:p w14:paraId="08FD9A03" w14:textId="45F05542" w:rsidR="004372B2" w:rsidRPr="00AE7EAD" w:rsidRDefault="004372B2" w:rsidP="00A83127">
      <w:pPr>
        <w:jc w:val="both"/>
        <w:rPr>
          <w:szCs w:val="22"/>
        </w:rPr>
      </w:pPr>
      <w:r w:rsidRPr="00B74B9C">
        <w:rPr>
          <w:b/>
          <w:bCs/>
          <w:szCs w:val="22"/>
        </w:rPr>
        <w:lastRenderedPageBreak/>
        <w:t>Podíl nově přijatých žáků do 1. ročníku středního vzdělávání s maturitní zkouškou v gymnaziálních oborech v denní formě vzdělávání</w:t>
      </w:r>
      <w:r w:rsidRPr="00AE7EAD">
        <w:rPr>
          <w:szCs w:val="22"/>
        </w:rPr>
        <w:t xml:space="preserve"> se po letech poklesu opět začal zvyšovat. Podíl gymnazistů stoupá především v Praze, ale tak</w:t>
      </w:r>
      <w:r w:rsidR="001B3116" w:rsidRPr="00AE7EAD">
        <w:rPr>
          <w:szCs w:val="22"/>
        </w:rPr>
        <w:t>é</w:t>
      </w:r>
      <w:r w:rsidRPr="00AE7EAD">
        <w:rPr>
          <w:szCs w:val="22"/>
        </w:rPr>
        <w:t xml:space="preserve"> ve Středočeském, Pardubickém, mírně také v Kr</w:t>
      </w:r>
      <w:r w:rsidR="00E33FC8" w:rsidRPr="00AE7EAD">
        <w:rPr>
          <w:szCs w:val="22"/>
        </w:rPr>
        <w:t>á</w:t>
      </w:r>
      <w:r w:rsidRPr="00AE7EAD">
        <w:rPr>
          <w:szCs w:val="22"/>
        </w:rPr>
        <w:t>lovéhradeckém a Ústeckém kraji.</w:t>
      </w:r>
    </w:p>
    <w:p w14:paraId="22A2BE63" w14:textId="3C5E0455" w:rsidR="00FA42EB" w:rsidRDefault="00273C6C">
      <w:pPr>
        <w:spacing w:line="276" w:lineRule="auto"/>
        <w:rPr>
          <w:sz w:val="23"/>
          <w:szCs w:val="23"/>
        </w:rPr>
      </w:pPr>
      <w:r w:rsidRPr="00273C6C">
        <w:rPr>
          <w:noProof/>
        </w:rPr>
        <w:drawing>
          <wp:inline distT="0" distB="0" distL="0" distR="0" wp14:anchorId="75EAF9BE" wp14:editId="65B0380F">
            <wp:extent cx="9071610" cy="309880"/>
            <wp:effectExtent l="0" t="0" r="0" b="0"/>
            <wp:docPr id="71826268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1610" cy="309880"/>
                    </a:xfrm>
                    <a:prstGeom prst="rect">
                      <a:avLst/>
                    </a:prstGeom>
                    <a:noFill/>
                    <a:ln>
                      <a:noFill/>
                    </a:ln>
                  </pic:spPr>
                </pic:pic>
              </a:graphicData>
            </a:graphic>
          </wp:inline>
        </w:drawing>
      </w:r>
    </w:p>
    <w:p w14:paraId="46752E4C" w14:textId="6731AD17" w:rsidR="00FA42EB" w:rsidRPr="00AE7EAD" w:rsidRDefault="004372B2" w:rsidP="006118F0">
      <w:pPr>
        <w:jc w:val="both"/>
        <w:rPr>
          <w:szCs w:val="22"/>
        </w:rPr>
      </w:pPr>
      <w:r w:rsidRPr="00EC1C77">
        <w:rPr>
          <w:szCs w:val="22"/>
        </w:rPr>
        <w:t xml:space="preserve">Pokles </w:t>
      </w:r>
      <w:r w:rsidRPr="00EC1C77">
        <w:rPr>
          <w:b/>
          <w:bCs/>
          <w:szCs w:val="22"/>
        </w:rPr>
        <w:t>podílu žáků s přiznaným podpůrným opatřením s kódem NFN</w:t>
      </w:r>
      <w:r w:rsidR="00BF583F">
        <w:rPr>
          <w:rStyle w:val="Znakapoznpodarou"/>
          <w:b/>
          <w:bCs/>
          <w:szCs w:val="22"/>
        </w:rPr>
        <w:footnoteReference w:id="5"/>
      </w:r>
      <w:r w:rsidRPr="00EC1C77">
        <w:rPr>
          <w:b/>
          <w:bCs/>
          <w:szCs w:val="22"/>
        </w:rPr>
        <w:t xml:space="preserve"> v ZŠ</w:t>
      </w:r>
      <w:r w:rsidRPr="00EC1C77">
        <w:rPr>
          <w:szCs w:val="22"/>
        </w:rPr>
        <w:t xml:space="preserve"> se zastavil a </w:t>
      </w:r>
      <w:r w:rsidR="00282114" w:rsidRPr="00EC1C77">
        <w:rPr>
          <w:szCs w:val="22"/>
        </w:rPr>
        <w:t xml:space="preserve">od roku 2021 </w:t>
      </w:r>
      <w:r w:rsidRPr="00EC1C77">
        <w:rPr>
          <w:szCs w:val="22"/>
        </w:rPr>
        <w:t>narůstá. Nárůst je patrný ve všech krajích ČR.</w:t>
      </w:r>
    </w:p>
    <w:p w14:paraId="589C5A39" w14:textId="684A5F70" w:rsidR="00FA42EB" w:rsidRDefault="00273C6C">
      <w:pPr>
        <w:spacing w:line="276" w:lineRule="auto"/>
        <w:rPr>
          <w:sz w:val="23"/>
          <w:szCs w:val="23"/>
        </w:rPr>
      </w:pPr>
      <w:r w:rsidRPr="00273C6C">
        <w:rPr>
          <w:noProof/>
        </w:rPr>
        <w:drawing>
          <wp:inline distT="0" distB="0" distL="0" distR="0" wp14:anchorId="5670CAC5" wp14:editId="3202817B">
            <wp:extent cx="9071610" cy="309880"/>
            <wp:effectExtent l="0" t="0" r="0" b="0"/>
            <wp:docPr id="61216769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71610" cy="309880"/>
                    </a:xfrm>
                    <a:prstGeom prst="rect">
                      <a:avLst/>
                    </a:prstGeom>
                    <a:noFill/>
                    <a:ln>
                      <a:noFill/>
                    </a:ln>
                  </pic:spPr>
                </pic:pic>
              </a:graphicData>
            </a:graphic>
          </wp:inline>
        </w:drawing>
      </w:r>
    </w:p>
    <w:p w14:paraId="4CF30C82" w14:textId="1D4E96E6" w:rsidR="004372B2" w:rsidRPr="00AE7EAD" w:rsidRDefault="004372B2" w:rsidP="00A83127">
      <w:pPr>
        <w:jc w:val="both"/>
        <w:rPr>
          <w:szCs w:val="22"/>
        </w:rPr>
      </w:pPr>
      <w:r w:rsidRPr="00AE7EAD">
        <w:rPr>
          <w:szCs w:val="22"/>
        </w:rPr>
        <w:t xml:space="preserve">Zastavil se pozvolný pokles </w:t>
      </w:r>
      <w:r w:rsidRPr="00683943">
        <w:rPr>
          <w:b/>
          <w:bCs/>
          <w:szCs w:val="22"/>
        </w:rPr>
        <w:t>podílu dětí a žáků vzdělávaných ve speciálních třídách MŠ a ZŠ</w:t>
      </w:r>
      <w:r w:rsidRPr="00AE7EAD">
        <w:rPr>
          <w:szCs w:val="22"/>
        </w:rPr>
        <w:t>. V posledních dvou letech dochází k velmi mírnému nárůstu. Ve většině krajů jsou nyní podíly více méně stabilní s malými meziročními změnami. V mateřských škol</w:t>
      </w:r>
      <w:r w:rsidR="001B3116" w:rsidRPr="00AE7EAD">
        <w:rPr>
          <w:szCs w:val="22"/>
        </w:rPr>
        <w:t>ách</w:t>
      </w:r>
      <w:r w:rsidRPr="00AE7EAD">
        <w:rPr>
          <w:szCs w:val="22"/>
        </w:rPr>
        <w:t xml:space="preserve"> je nárůst podílu patrný především v Libereckém a</w:t>
      </w:r>
      <w:r w:rsidR="006118F0" w:rsidRPr="00AE7EAD">
        <w:rPr>
          <w:szCs w:val="22"/>
        </w:rPr>
        <w:t> </w:t>
      </w:r>
      <w:r w:rsidRPr="00AE7EAD">
        <w:rPr>
          <w:szCs w:val="22"/>
        </w:rPr>
        <w:t>Moravskoslezském kraji. U základních škol došlo k nárůstu především v Karlovarském kraji.</w:t>
      </w:r>
    </w:p>
    <w:p w14:paraId="023313D5" w14:textId="3DDFCB9E" w:rsidR="00FA42EB" w:rsidRDefault="00273C6C">
      <w:pPr>
        <w:spacing w:line="276" w:lineRule="auto"/>
        <w:rPr>
          <w:sz w:val="23"/>
          <w:szCs w:val="23"/>
        </w:rPr>
      </w:pPr>
      <w:r w:rsidRPr="00273C6C">
        <w:rPr>
          <w:noProof/>
        </w:rPr>
        <w:drawing>
          <wp:inline distT="0" distB="0" distL="0" distR="0" wp14:anchorId="5133F21A" wp14:editId="5083F26A">
            <wp:extent cx="9071610" cy="468630"/>
            <wp:effectExtent l="0" t="0" r="0" b="7620"/>
            <wp:docPr id="163527382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71610" cy="468630"/>
                    </a:xfrm>
                    <a:prstGeom prst="rect">
                      <a:avLst/>
                    </a:prstGeom>
                    <a:noFill/>
                    <a:ln>
                      <a:noFill/>
                    </a:ln>
                  </pic:spPr>
                </pic:pic>
              </a:graphicData>
            </a:graphic>
          </wp:inline>
        </w:drawing>
      </w:r>
    </w:p>
    <w:p w14:paraId="19E00D65" w14:textId="77777777" w:rsidR="00FA42EB" w:rsidRPr="00FA42EB" w:rsidRDefault="00FA42EB" w:rsidP="00FA42EB">
      <w:pPr>
        <w:pStyle w:val="Nadpis4"/>
      </w:pPr>
      <w:r w:rsidRPr="00FA42EB">
        <w:t>Výsledky vzdělávání</w:t>
      </w:r>
    </w:p>
    <w:p w14:paraId="22119BF6" w14:textId="77777777" w:rsidR="004372B2" w:rsidRPr="00AE7EAD" w:rsidRDefault="004372B2" w:rsidP="00AE6D22">
      <w:pPr>
        <w:rPr>
          <w:szCs w:val="22"/>
        </w:rPr>
      </w:pPr>
      <w:r w:rsidRPr="00AE7EAD">
        <w:rPr>
          <w:szCs w:val="22"/>
        </w:rPr>
        <w:t xml:space="preserve">Zastavil se trend nárůstu </w:t>
      </w:r>
      <w:r w:rsidRPr="003838AA">
        <w:rPr>
          <w:b/>
          <w:bCs/>
          <w:szCs w:val="22"/>
        </w:rPr>
        <w:t>podílu osob ve věku 25-34 let s dosaženým vysokoškolským vzděláním</w:t>
      </w:r>
      <w:r w:rsidRPr="00AE7EAD">
        <w:rPr>
          <w:szCs w:val="22"/>
        </w:rPr>
        <w:t>, v posledních dvou letech byl zaznamenán pokles. Tento indikátor nemá krajské členění.</w:t>
      </w:r>
    </w:p>
    <w:p w14:paraId="50F129B2" w14:textId="77777777" w:rsidR="004372B2" w:rsidRPr="00AE7EAD" w:rsidRDefault="004372B2" w:rsidP="00AE6D22">
      <w:pPr>
        <w:rPr>
          <w:szCs w:val="22"/>
        </w:rPr>
      </w:pPr>
      <w:r w:rsidRPr="00AE7EAD">
        <w:rPr>
          <w:szCs w:val="22"/>
        </w:rPr>
        <w:t>V roce 2024 klesl také podíl osob v této věkové skupině s dosaženým maximálně základním vzděláním.</w:t>
      </w:r>
    </w:p>
    <w:p w14:paraId="16E10946" w14:textId="73D7AD0A" w:rsidR="009F65F4" w:rsidRPr="00AE7EAD" w:rsidRDefault="001B3116" w:rsidP="002D0E42">
      <w:pPr>
        <w:rPr>
          <w:szCs w:val="22"/>
        </w:rPr>
      </w:pPr>
      <w:r w:rsidRPr="00AE7EAD">
        <w:rPr>
          <w:szCs w:val="22"/>
        </w:rPr>
        <w:t>Stoupat naopak začal podíl osob se středním vzděláním a maturitní zkouškou.</w:t>
      </w:r>
    </w:p>
    <w:p w14:paraId="5B5705C0" w14:textId="2F54594A" w:rsidR="009F65F4" w:rsidRDefault="00273C6C">
      <w:pPr>
        <w:spacing w:line="276" w:lineRule="auto"/>
        <w:rPr>
          <w:sz w:val="23"/>
          <w:szCs w:val="23"/>
        </w:rPr>
      </w:pPr>
      <w:r w:rsidRPr="00273C6C">
        <w:rPr>
          <w:noProof/>
        </w:rPr>
        <w:drawing>
          <wp:inline distT="0" distB="0" distL="0" distR="0" wp14:anchorId="203BB4AA" wp14:editId="0D079926">
            <wp:extent cx="9071610" cy="929640"/>
            <wp:effectExtent l="0" t="0" r="0" b="3810"/>
            <wp:docPr id="65988962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71610" cy="929640"/>
                    </a:xfrm>
                    <a:prstGeom prst="rect">
                      <a:avLst/>
                    </a:prstGeom>
                    <a:noFill/>
                    <a:ln>
                      <a:noFill/>
                    </a:ln>
                  </pic:spPr>
                </pic:pic>
              </a:graphicData>
            </a:graphic>
          </wp:inline>
        </w:drawing>
      </w:r>
    </w:p>
    <w:p w14:paraId="619F059F" w14:textId="049C8B49" w:rsidR="009F65F4" w:rsidRDefault="004372B2" w:rsidP="002D0E42">
      <w:pPr>
        <w:jc w:val="both"/>
      </w:pPr>
      <w:r w:rsidRPr="012A76FB">
        <w:rPr>
          <w:b/>
        </w:rPr>
        <w:lastRenderedPageBreak/>
        <w:t>Podíl absolventů ZŠ, kteří v daném roce nepokračují na SŠ nebo konzervatoři</w:t>
      </w:r>
      <w:r>
        <w:t xml:space="preserve">, až do roku 2020 klesal, od té doby ovšem postupně </w:t>
      </w:r>
      <w:r w:rsidR="00E57EBF">
        <w:t xml:space="preserve">mírně </w:t>
      </w:r>
      <w:r>
        <w:t>narůstá. Trend není v</w:t>
      </w:r>
      <w:r w:rsidR="001B3116">
        <w:t>e</w:t>
      </w:r>
      <w:r>
        <w:t xml:space="preserve"> všech krajích stejný. V některých mohlo jít o efekt covidových opatření a podíl těchto žáků už nyní nestoupá</w:t>
      </w:r>
      <w:r w:rsidR="00A44857">
        <w:t>.</w:t>
      </w:r>
      <w:r>
        <w:t xml:space="preserve"> </w:t>
      </w:r>
      <w:r w:rsidR="00A44857">
        <w:t>V</w:t>
      </w:r>
      <w:r>
        <w:t xml:space="preserve"> Ústeckém a Karlovarském kraji, na Vysočině, v</w:t>
      </w:r>
      <w:r w:rsidR="001B3116">
        <w:t> </w:t>
      </w:r>
      <w:r>
        <w:t>Praze</w:t>
      </w:r>
      <w:r w:rsidR="001B3116">
        <w:t xml:space="preserve"> </w:t>
      </w:r>
      <w:r>
        <w:t>a</w:t>
      </w:r>
      <w:r w:rsidR="00BF583F">
        <w:t> </w:t>
      </w:r>
      <w:r>
        <w:t xml:space="preserve">ve Zlínském kraji je </w:t>
      </w:r>
      <w:r w:rsidR="40C86FAF">
        <w:t>ovšem</w:t>
      </w:r>
      <w:r w:rsidR="551E7C7C">
        <w:t xml:space="preserve"> </w:t>
      </w:r>
      <w:r>
        <w:t>patrný</w:t>
      </w:r>
      <w:r w:rsidR="001B3116">
        <w:t xml:space="preserve"> pokračující</w:t>
      </w:r>
      <w:r>
        <w:t xml:space="preserve"> vzestupný trend.</w:t>
      </w:r>
    </w:p>
    <w:p w14:paraId="3B22E4CB" w14:textId="2D5198B4" w:rsidR="00E57EBF" w:rsidRPr="00AE7EAD" w:rsidRDefault="00E57EBF" w:rsidP="002D0E42">
      <w:pPr>
        <w:jc w:val="both"/>
      </w:pPr>
      <w:r w:rsidRPr="00E57EBF">
        <w:rPr>
          <w:noProof/>
        </w:rPr>
        <w:drawing>
          <wp:inline distT="0" distB="0" distL="0" distR="0" wp14:anchorId="0468DA00" wp14:editId="1DA95733">
            <wp:extent cx="9071610" cy="309880"/>
            <wp:effectExtent l="0" t="0" r="0" b="0"/>
            <wp:docPr id="170530171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71610" cy="309880"/>
                    </a:xfrm>
                    <a:prstGeom prst="rect">
                      <a:avLst/>
                    </a:prstGeom>
                    <a:noFill/>
                    <a:ln>
                      <a:noFill/>
                    </a:ln>
                  </pic:spPr>
                </pic:pic>
              </a:graphicData>
            </a:graphic>
          </wp:inline>
        </w:drawing>
      </w:r>
    </w:p>
    <w:p w14:paraId="6B980646" w14:textId="07FA7CB4" w:rsidR="006118F0" w:rsidRPr="003E3AE8" w:rsidRDefault="006118F0">
      <w:pPr>
        <w:spacing w:line="276" w:lineRule="auto"/>
        <w:rPr>
          <w:sz w:val="23"/>
          <w:szCs w:val="23"/>
        </w:rPr>
      </w:pPr>
      <w:r>
        <w:br w:type="page"/>
      </w:r>
    </w:p>
    <w:p w14:paraId="2F344516" w14:textId="30560612" w:rsidR="00B04F54" w:rsidRDefault="00D377FA" w:rsidP="00C7544D">
      <w:pPr>
        <w:pStyle w:val="Nadpis2"/>
        <w:tabs>
          <w:tab w:val="left" w:pos="1420"/>
        </w:tabs>
      </w:pPr>
      <w:bookmarkStart w:id="14" w:name="_Toc212712712"/>
      <w:r>
        <w:lastRenderedPageBreak/>
        <w:t>4</w:t>
      </w:r>
      <w:r w:rsidR="00B04F54">
        <w:t>.</w:t>
      </w:r>
      <w:r w:rsidR="000929D5">
        <w:t xml:space="preserve"> </w:t>
      </w:r>
      <w:r w:rsidR="00C7544D">
        <w:t>Covidové výkyvy a jejich konsolidace</w:t>
      </w:r>
      <w:bookmarkEnd w:id="14"/>
      <w:r w:rsidR="00E07D13">
        <w:t xml:space="preserve"> </w:t>
      </w:r>
    </w:p>
    <w:p w14:paraId="2251C3C9" w14:textId="77777777" w:rsidR="00217EEC" w:rsidRDefault="00D765F0" w:rsidP="009052C5">
      <w:pPr>
        <w:jc w:val="both"/>
      </w:pPr>
      <w:r>
        <w:t>Začátek dekády byl poznamenán epidemií onemocnění covid-19, v jejímž důsledk</w:t>
      </w:r>
      <w:r w:rsidR="00B67E39">
        <w:t>u</w:t>
      </w:r>
      <w:r>
        <w:t xml:space="preserve"> </w:t>
      </w:r>
      <w:r w:rsidR="00B67E39">
        <w:t>došlo k několika vlnám</w:t>
      </w:r>
      <w:r>
        <w:t> uzavírání škol</w:t>
      </w:r>
      <w:r w:rsidR="00B67E39">
        <w:t xml:space="preserve"> (na jaře a na podzim roku 2020 a na jaře 2021). </w:t>
      </w:r>
      <w:r w:rsidR="00217EEC" w:rsidRPr="00217EEC">
        <w:t>Tyto zásahy se promítly do vývoje řady indikátorů vzdělávací soustavy.</w:t>
      </w:r>
    </w:p>
    <w:p w14:paraId="684A479C" w14:textId="086B9578" w:rsidR="000E1170" w:rsidRDefault="00217EEC" w:rsidP="009052C5">
      <w:pPr>
        <w:jc w:val="both"/>
      </w:pPr>
      <w:r w:rsidRPr="00217EEC">
        <w:t xml:space="preserve">Cílem této kapitoly je identifikovat, </w:t>
      </w:r>
      <w:r w:rsidRPr="00217EEC">
        <w:rPr>
          <w:b/>
          <w:bCs/>
        </w:rPr>
        <w:t>které ukazatele vykázaly během covidového období anomálie</w:t>
      </w:r>
      <w:r w:rsidRPr="00217EEC">
        <w:t xml:space="preserve">, a posoudit, </w:t>
      </w:r>
      <w:r w:rsidRPr="00217EEC">
        <w:rPr>
          <w:b/>
          <w:bCs/>
        </w:rPr>
        <w:t>zda se v následujících letech jejich vývoj stabilizoval</w:t>
      </w:r>
      <w:r w:rsidRPr="00217EEC">
        <w:t xml:space="preserve"> a vrátil k dlouhodobému trendu před pandemií.</w:t>
      </w:r>
    </w:p>
    <w:p w14:paraId="6BC6F025" w14:textId="712F6DC5" w:rsidR="00144FDC" w:rsidRDefault="00217EEC" w:rsidP="009052C5">
      <w:pPr>
        <w:jc w:val="both"/>
      </w:pPr>
      <w:r w:rsidRPr="00217EEC">
        <w:t xml:space="preserve">Anomálie byly určeny na základě meziročních změn v letech 2020–2022. Výkyvy způsobené jinými </w:t>
      </w:r>
      <w:r w:rsidR="005C1793" w:rsidRPr="00217EEC">
        <w:t>faktory</w:t>
      </w:r>
      <w:r w:rsidR="005C1793">
        <w:t xml:space="preserve">, </w:t>
      </w:r>
      <w:r w:rsidRPr="00217EEC">
        <w:t>než uzavírkami škol byly z analýzy vyloučeny</w:t>
      </w:r>
      <w:r w:rsidR="000E1170">
        <w:rPr>
          <w:rStyle w:val="Znakapoznpodarou"/>
        </w:rPr>
        <w:footnoteReference w:id="6"/>
      </w:r>
      <w:r w:rsidR="000E1170">
        <w:t>.</w:t>
      </w:r>
      <w:r w:rsidR="00A752B4">
        <w:t xml:space="preserve"> </w:t>
      </w:r>
    </w:p>
    <w:p w14:paraId="78D715BD" w14:textId="72D7EDE8" w:rsidR="003C2F29" w:rsidRPr="00377DB9" w:rsidRDefault="003C2F29" w:rsidP="00406B45">
      <w:pPr>
        <w:pStyle w:val="Nadpis3"/>
      </w:pPr>
      <w:bookmarkStart w:id="15" w:name="_Toc212712713"/>
      <w:r w:rsidRPr="00377DB9">
        <w:t xml:space="preserve">Souhrn </w:t>
      </w:r>
      <w:r w:rsidR="00AB2928">
        <w:t>hlavních výsledků</w:t>
      </w:r>
      <w:bookmarkEnd w:id="15"/>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840"/>
        <w:gridCol w:w="6220"/>
        <w:gridCol w:w="6220"/>
      </w:tblGrid>
      <w:tr w:rsidR="000C6C4F" w14:paraId="564B3B8A" w14:textId="77777777" w:rsidTr="009A58B0">
        <w:trPr>
          <w:cantSplit/>
          <w:tblCellSpacing w:w="0" w:type="dxa"/>
          <w:jc w:val="center"/>
        </w:trPr>
        <w:tc>
          <w:tcPr>
            <w:tcW w:w="1840" w:type="dxa"/>
            <w:tcBorders>
              <w:top w:val="single" w:sz="1" w:space="0" w:color="000000"/>
              <w:bottom w:val="single" w:sz="1" w:space="0" w:color="000000"/>
              <w:right w:val="single" w:sz="1" w:space="0" w:color="000000"/>
            </w:tcBorders>
            <w:shd w:val="clear" w:color="auto" w:fill="D1EEF9" w:themeFill="accent1" w:themeFillTint="33"/>
          </w:tcPr>
          <w:p w14:paraId="10753385" w14:textId="77777777" w:rsidR="000C6C4F" w:rsidRPr="00416ABF" w:rsidRDefault="000C6C4F" w:rsidP="009574F4">
            <w:pPr>
              <w:spacing w:line="360" w:lineRule="auto"/>
              <w:rPr>
                <w:rFonts w:cs="Calibri"/>
                <w:b/>
                <w:bCs/>
              </w:rPr>
            </w:pPr>
            <w:r w:rsidRPr="00416ABF">
              <w:rPr>
                <w:rFonts w:eastAsia="inter" w:cs="Calibri"/>
                <w:b/>
                <w:bCs/>
                <w:color w:val="000000"/>
              </w:rPr>
              <w:t>Oblast</w:t>
            </w:r>
          </w:p>
        </w:tc>
        <w:tc>
          <w:tcPr>
            <w:tcW w:w="6220" w:type="dxa"/>
            <w:tcBorders>
              <w:top w:val="single" w:sz="1" w:space="0" w:color="000000"/>
              <w:bottom w:val="single" w:sz="1" w:space="0" w:color="000000"/>
              <w:right w:val="single" w:sz="1" w:space="0" w:color="000000"/>
            </w:tcBorders>
            <w:shd w:val="clear" w:color="auto" w:fill="D1EEF9" w:themeFill="accent1" w:themeFillTint="33"/>
          </w:tcPr>
          <w:p w14:paraId="7B462E2F" w14:textId="0D579094" w:rsidR="000C6C4F" w:rsidRPr="00416ABF" w:rsidRDefault="00217EEC" w:rsidP="009574F4">
            <w:pPr>
              <w:spacing w:line="360" w:lineRule="auto"/>
              <w:rPr>
                <w:rFonts w:cs="Calibri"/>
                <w:b/>
                <w:bCs/>
              </w:rPr>
            </w:pPr>
            <w:r w:rsidRPr="00217EEC">
              <w:rPr>
                <w:rFonts w:eastAsia="inter" w:cs="Calibri"/>
                <w:b/>
                <w:bCs/>
                <w:color w:val="000000"/>
              </w:rPr>
              <w:t>Výkyvy v období 2020–2022</w:t>
            </w:r>
          </w:p>
        </w:tc>
        <w:tc>
          <w:tcPr>
            <w:tcW w:w="6220" w:type="dxa"/>
            <w:tcBorders>
              <w:top w:val="single" w:sz="1" w:space="0" w:color="000000"/>
              <w:bottom w:val="single" w:sz="1" w:space="0" w:color="000000"/>
            </w:tcBorders>
            <w:shd w:val="clear" w:color="auto" w:fill="D1EEF9" w:themeFill="accent1" w:themeFillTint="33"/>
          </w:tcPr>
          <w:p w14:paraId="4E66BC1B" w14:textId="6CEA3A12" w:rsidR="000C6C4F" w:rsidRPr="00416ABF" w:rsidRDefault="00217EEC" w:rsidP="009574F4">
            <w:pPr>
              <w:spacing w:line="360" w:lineRule="auto"/>
              <w:rPr>
                <w:rFonts w:cs="Calibri"/>
                <w:b/>
                <w:bCs/>
              </w:rPr>
            </w:pPr>
            <w:r w:rsidRPr="00217EEC">
              <w:rPr>
                <w:rFonts w:eastAsia="inter" w:cs="Calibri"/>
                <w:b/>
                <w:bCs/>
                <w:color w:val="000000"/>
              </w:rPr>
              <w:t>Současný stav (2023–202</w:t>
            </w:r>
            <w:r>
              <w:rPr>
                <w:rFonts w:eastAsia="inter" w:cs="Calibri"/>
                <w:b/>
                <w:bCs/>
                <w:color w:val="000000"/>
              </w:rPr>
              <w:t>4</w:t>
            </w:r>
            <w:r w:rsidRPr="00217EEC">
              <w:rPr>
                <w:rFonts w:eastAsia="inter" w:cs="Calibri"/>
                <w:b/>
                <w:bCs/>
                <w:color w:val="000000"/>
              </w:rPr>
              <w:t>)</w:t>
            </w:r>
          </w:p>
        </w:tc>
      </w:tr>
      <w:tr w:rsidR="000C6C4F" w14:paraId="5760ADED" w14:textId="77777777" w:rsidTr="009A58B0">
        <w:trPr>
          <w:cantSplit/>
          <w:tblCellSpacing w:w="0" w:type="dxa"/>
          <w:jc w:val="center"/>
        </w:trPr>
        <w:tc>
          <w:tcPr>
            <w:tcW w:w="1840" w:type="dxa"/>
            <w:tcBorders>
              <w:top w:val="single" w:sz="1" w:space="0" w:color="000000"/>
              <w:bottom w:val="single" w:sz="1" w:space="0" w:color="000000"/>
              <w:right w:val="single" w:sz="1" w:space="0" w:color="000000"/>
            </w:tcBorders>
            <w:shd w:val="clear" w:color="auto" w:fill="D1EEF9" w:themeFill="accent1" w:themeFillTint="33"/>
          </w:tcPr>
          <w:p w14:paraId="1F37EDE8" w14:textId="77777777" w:rsidR="000C6C4F" w:rsidRPr="00416ABF" w:rsidRDefault="000C6C4F" w:rsidP="009574F4">
            <w:pPr>
              <w:spacing w:line="360" w:lineRule="auto"/>
              <w:rPr>
                <w:rFonts w:cs="Calibri"/>
              </w:rPr>
            </w:pPr>
            <w:r w:rsidRPr="00416ABF">
              <w:rPr>
                <w:rFonts w:eastAsia="inter" w:cs="Calibri"/>
                <w:color w:val="000000"/>
              </w:rPr>
              <w:t>Výsledky vzdělávání</w:t>
            </w:r>
          </w:p>
        </w:tc>
        <w:tc>
          <w:tcPr>
            <w:tcW w:w="6220" w:type="dxa"/>
            <w:tcBorders>
              <w:top w:val="single" w:sz="1" w:space="0" w:color="000000"/>
              <w:bottom w:val="nil"/>
              <w:right w:val="single" w:sz="1" w:space="0" w:color="000000"/>
            </w:tcBorders>
            <w:shd w:val="clear" w:color="auto" w:fill="D1EEF9" w:themeFill="accent1" w:themeFillTint="33"/>
          </w:tcPr>
          <w:p w14:paraId="3FAEAFC7" w14:textId="73B5839E" w:rsidR="000C6C4F" w:rsidRPr="00416ABF" w:rsidRDefault="003C0070" w:rsidP="009574F4">
            <w:pPr>
              <w:spacing w:line="360" w:lineRule="auto"/>
              <w:rPr>
                <w:rFonts w:cs="Calibri"/>
              </w:rPr>
            </w:pPr>
            <w:r w:rsidRPr="003C0070">
              <w:rPr>
                <w:rFonts w:eastAsia="inter" w:cs="Calibri"/>
                <w:color w:val="000000"/>
              </w:rPr>
              <w:t>Pokles míry opakování ročníku v roce 2020, následný dočasný nárůst v roce 2021–2022. Výkyvy v předčasných odchodech ze vzdělávání. Výrazný pokles podílu žáků odcházejících ze ZŠ bez dokončeného stupně vzdělání.</w:t>
            </w:r>
          </w:p>
        </w:tc>
        <w:tc>
          <w:tcPr>
            <w:tcW w:w="6220" w:type="dxa"/>
            <w:tcBorders>
              <w:top w:val="single" w:sz="1" w:space="0" w:color="000000"/>
              <w:bottom w:val="single" w:sz="1" w:space="0" w:color="000000"/>
            </w:tcBorders>
            <w:shd w:val="clear" w:color="auto" w:fill="D1EEF9" w:themeFill="accent1" w:themeFillTint="33"/>
          </w:tcPr>
          <w:p w14:paraId="2B9A3E9C" w14:textId="77777777" w:rsidR="000C6C4F" w:rsidRPr="009F6114" w:rsidRDefault="000C6C4F" w:rsidP="009574F4">
            <w:pPr>
              <w:spacing w:line="360" w:lineRule="auto"/>
              <w:rPr>
                <w:rFonts w:eastAsia="inter" w:cs="Calibri"/>
                <w:color w:val="000000"/>
              </w:rPr>
            </w:pPr>
            <w:r w:rsidRPr="00416ABF">
              <w:rPr>
                <w:rFonts w:eastAsia="inter" w:cs="Calibri"/>
                <w:color w:val="000000"/>
              </w:rPr>
              <w:t>Trendy se opět ustálily. Klesající pozitivní trend u podílu žáků odcházejících bez dosaženého stupně vzdělání v ZŠ stále trvá. Negativní trend nárůstu podílu absolventů ZŠ, kteří nepokračují na SŠ/konzervatoři, pokračuje.</w:t>
            </w:r>
          </w:p>
        </w:tc>
      </w:tr>
      <w:tr w:rsidR="000C6C4F" w14:paraId="11D58B24" w14:textId="77777777" w:rsidTr="009A58B0">
        <w:trPr>
          <w:cantSplit/>
          <w:tblCellSpacing w:w="0" w:type="dxa"/>
          <w:jc w:val="center"/>
        </w:trPr>
        <w:tc>
          <w:tcPr>
            <w:tcW w:w="1840" w:type="dxa"/>
            <w:tcBorders>
              <w:top w:val="single" w:sz="1" w:space="0" w:color="000000"/>
              <w:bottom w:val="single" w:sz="1" w:space="0" w:color="000000"/>
              <w:right w:val="single" w:sz="1" w:space="0" w:color="000000"/>
            </w:tcBorders>
            <w:shd w:val="clear" w:color="auto" w:fill="D1EEF9" w:themeFill="accent1" w:themeFillTint="33"/>
          </w:tcPr>
          <w:p w14:paraId="32FD5356" w14:textId="77777777" w:rsidR="000C6C4F" w:rsidRPr="00416ABF" w:rsidRDefault="000C6C4F" w:rsidP="009574F4">
            <w:pPr>
              <w:spacing w:line="360" w:lineRule="auto"/>
              <w:rPr>
                <w:rFonts w:cs="Calibri"/>
              </w:rPr>
            </w:pPr>
            <w:r w:rsidRPr="00416ABF">
              <w:rPr>
                <w:rFonts w:eastAsia="inter" w:cs="Calibri"/>
                <w:color w:val="000000"/>
              </w:rPr>
              <w:t>Účast na vzdělávání</w:t>
            </w:r>
          </w:p>
        </w:tc>
        <w:tc>
          <w:tcPr>
            <w:tcW w:w="6220" w:type="dxa"/>
            <w:tcBorders>
              <w:top w:val="single" w:sz="1" w:space="0" w:color="000000"/>
              <w:bottom w:val="single" w:sz="1" w:space="0" w:color="000000"/>
              <w:right w:val="single" w:sz="1" w:space="0" w:color="000000"/>
            </w:tcBorders>
            <w:shd w:val="clear" w:color="auto" w:fill="D1EEF9" w:themeFill="accent1" w:themeFillTint="33"/>
          </w:tcPr>
          <w:p w14:paraId="3B72D5D8" w14:textId="5EF66D1B" w:rsidR="000C6C4F" w:rsidRPr="00416ABF" w:rsidRDefault="003C0070" w:rsidP="009574F4">
            <w:pPr>
              <w:spacing w:line="360" w:lineRule="auto"/>
              <w:rPr>
                <w:rFonts w:cs="Calibri"/>
              </w:rPr>
            </w:pPr>
            <w:r w:rsidRPr="003C0070">
              <w:rPr>
                <w:rFonts w:eastAsia="inter" w:cs="Calibri"/>
                <w:color w:val="000000"/>
              </w:rPr>
              <w:t>Nárůst podílu mladých lidí mimo vzdělávání a trh práce (2022). Pokles účasti dospělých na dalším vzdělávání. Pozastavení růstu podílu žáků se zdravotním znevýhodněním a s podpůrnými opatřeními v běžných třídách.</w:t>
            </w:r>
            <w:r>
              <w:rPr>
                <w:rFonts w:eastAsia="inter" w:cs="Calibri"/>
                <w:color w:val="000000"/>
              </w:rPr>
              <w:t xml:space="preserve"> </w:t>
            </w:r>
            <w:r w:rsidRPr="003C0070">
              <w:rPr>
                <w:rFonts w:eastAsia="inter" w:cs="Calibri"/>
                <w:color w:val="000000"/>
              </w:rPr>
              <w:t>Zvýšení počtu odkladů povinné školní docházky v roce 2021.</w:t>
            </w:r>
          </w:p>
        </w:tc>
        <w:tc>
          <w:tcPr>
            <w:tcW w:w="6220" w:type="dxa"/>
            <w:tcBorders>
              <w:top w:val="single" w:sz="1" w:space="0" w:color="000000"/>
              <w:bottom w:val="single" w:sz="1" w:space="0" w:color="000000"/>
            </w:tcBorders>
            <w:shd w:val="clear" w:color="auto" w:fill="D1EEF9" w:themeFill="accent1" w:themeFillTint="33"/>
          </w:tcPr>
          <w:p w14:paraId="3F82A3DF" w14:textId="6910767C" w:rsidR="000C6C4F" w:rsidRPr="009F6114" w:rsidRDefault="00217EEC" w:rsidP="009574F4">
            <w:pPr>
              <w:spacing w:line="360" w:lineRule="auto"/>
              <w:rPr>
                <w:rFonts w:eastAsia="inter" w:cs="Calibri"/>
                <w:color w:val="000000"/>
              </w:rPr>
            </w:pPr>
            <w:r w:rsidRPr="00217EEC">
              <w:rPr>
                <w:rFonts w:eastAsia="inter" w:cs="Calibri"/>
                <w:color w:val="000000"/>
              </w:rPr>
              <w:t>Všechny indikátory se vrátily na původní trajektorii. Účast dospělých v dalším vzdělávání opět roste, zvyšuje se i podíl žáků se zdravotním znevýhodněním v běžných třídách.</w:t>
            </w:r>
          </w:p>
        </w:tc>
      </w:tr>
    </w:tbl>
    <w:p w14:paraId="5C6A65FA" w14:textId="77777777" w:rsidR="003C2F29" w:rsidRPr="00CF5ECE" w:rsidRDefault="003C2F29" w:rsidP="009052C5">
      <w:pPr>
        <w:jc w:val="both"/>
      </w:pPr>
    </w:p>
    <w:p w14:paraId="229A17CA" w14:textId="77777777" w:rsidR="00CF5ECE" w:rsidRPr="00CF5ECE" w:rsidRDefault="00CF5ECE" w:rsidP="00DC41D1">
      <w:pPr>
        <w:jc w:val="both"/>
      </w:pPr>
    </w:p>
    <w:p w14:paraId="37636B09" w14:textId="2B1EF12D" w:rsidR="00DC41D1" w:rsidRPr="00CF5ECE" w:rsidRDefault="00DC41D1" w:rsidP="00406B45">
      <w:pPr>
        <w:pStyle w:val="Nadpis3"/>
      </w:pPr>
      <w:bookmarkStart w:id="16" w:name="_Toc212712714"/>
      <w:r>
        <w:lastRenderedPageBreak/>
        <w:t>Konkrétní zjištění podle dotčených tematických oblastí</w:t>
      </w:r>
      <w:r w:rsidRPr="00377DB9">
        <w:t>:</w:t>
      </w:r>
      <w:bookmarkEnd w:id="16"/>
    </w:p>
    <w:p w14:paraId="67883A34" w14:textId="77777777" w:rsidR="001A56E9" w:rsidRPr="00FA42EB" w:rsidRDefault="001A56E9" w:rsidP="001A56E9">
      <w:pPr>
        <w:pStyle w:val="Nadpis4"/>
      </w:pPr>
      <w:r w:rsidRPr="00FA42EB">
        <w:t>Výsledky vzdělávání</w:t>
      </w:r>
    </w:p>
    <w:p w14:paraId="04C452B8" w14:textId="77777777" w:rsidR="003C0070" w:rsidRPr="003C0070" w:rsidRDefault="003C0070" w:rsidP="003C0070">
      <w:pPr>
        <w:jc w:val="both"/>
        <w:rPr>
          <w:b/>
          <w:bCs/>
        </w:rPr>
      </w:pPr>
      <w:r w:rsidRPr="003C0070">
        <w:rPr>
          <w:b/>
          <w:bCs/>
        </w:rPr>
        <w:t>Opakování ročníku</w:t>
      </w:r>
    </w:p>
    <w:p w14:paraId="7AA60C6C" w14:textId="77777777" w:rsidR="003C0070" w:rsidRPr="003C0070" w:rsidRDefault="003C0070" w:rsidP="00DD0748">
      <w:pPr>
        <w:numPr>
          <w:ilvl w:val="0"/>
          <w:numId w:val="8"/>
        </w:numPr>
        <w:jc w:val="both"/>
      </w:pPr>
      <w:r w:rsidRPr="003C0070">
        <w:t>V roce 2020 došlo v základních i středních školách k výraznému poklesu opakování ročníku, pravděpodobně v důsledku zmírněného hodnocení během distanční výuky.</w:t>
      </w:r>
    </w:p>
    <w:p w14:paraId="4F37722F" w14:textId="7112DF10" w:rsidR="003C0070" w:rsidRPr="003C0070" w:rsidRDefault="003C0070" w:rsidP="00DD0748">
      <w:pPr>
        <w:numPr>
          <w:ilvl w:val="0"/>
          <w:numId w:val="8"/>
        </w:numPr>
        <w:jc w:val="both"/>
      </w:pPr>
      <w:r>
        <w:t>Především u základních škol a u nematuritních oborů středních škol se v roce 2021 dočasně projevil nárůst opakování ročníku, který někde pokračoval ještě i v roce 2022. Tento dočasný nárůst mohl kompenzovat nižší míru opakování v předchozím školním roce a reagovat na problémy některých žáků, které se objevily v důsledku distanční výuky</w:t>
      </w:r>
      <w:r w:rsidRPr="003C0070">
        <w:t>.</w:t>
      </w:r>
    </w:p>
    <w:p w14:paraId="7B2D3033" w14:textId="77777777" w:rsidR="003C0070" w:rsidRDefault="003C0070" w:rsidP="00DD0748">
      <w:pPr>
        <w:pStyle w:val="Odstavecseseznamem"/>
        <w:numPr>
          <w:ilvl w:val="0"/>
          <w:numId w:val="8"/>
        </w:numPr>
        <w:jc w:val="both"/>
      </w:pPr>
      <w:r>
        <w:t>Roky 2023 a 2024 už byly ve znamení návratu k pozitivnímu klesajícímu trendu, který se projevoval před covidovým obdobím.</w:t>
      </w:r>
    </w:p>
    <w:p w14:paraId="263CAAA4" w14:textId="77777777" w:rsidR="003C0070" w:rsidRPr="003C0070" w:rsidRDefault="003C0070" w:rsidP="003C0070">
      <w:pPr>
        <w:jc w:val="both"/>
        <w:rPr>
          <w:b/>
          <w:bCs/>
        </w:rPr>
      </w:pPr>
      <w:r w:rsidRPr="003C0070">
        <w:rPr>
          <w:b/>
          <w:bCs/>
        </w:rPr>
        <w:t>Předčasné odchody ze vzdělávání</w:t>
      </w:r>
    </w:p>
    <w:p w14:paraId="2523ED1A" w14:textId="77777777" w:rsidR="003C0070" w:rsidRDefault="003C0070" w:rsidP="00DD0748">
      <w:pPr>
        <w:numPr>
          <w:ilvl w:val="0"/>
          <w:numId w:val="9"/>
        </w:numPr>
        <w:jc w:val="both"/>
      </w:pPr>
      <w:r w:rsidRPr="003C0070">
        <w:t xml:space="preserve">V roce 2020 vzrostl podíl osob ve věku 18–24 let, které nedosáhly vyššího než nižšího sekundárního vzdělání a nebyly zapojeny do dalšího vzdělávání (tzv. </w:t>
      </w:r>
      <w:r w:rsidRPr="003C0070">
        <w:rPr>
          <w:i/>
          <w:iCs/>
        </w:rPr>
        <w:t xml:space="preserve">early </w:t>
      </w:r>
      <w:proofErr w:type="spellStart"/>
      <w:r w:rsidRPr="003C0070">
        <w:rPr>
          <w:i/>
          <w:iCs/>
        </w:rPr>
        <w:t>school-leavers</w:t>
      </w:r>
      <w:proofErr w:type="spellEnd"/>
      <w:r w:rsidRPr="003C0070">
        <w:t>).</w:t>
      </w:r>
      <w:r>
        <w:t xml:space="preserve"> </w:t>
      </w:r>
      <w:r w:rsidRPr="00616B65">
        <w:t>Již v roce 2021 je</w:t>
      </w:r>
      <w:r>
        <w:t>j</w:t>
      </w:r>
      <w:r w:rsidRPr="00616B65">
        <w:t>ich podíl opět klesl.</w:t>
      </w:r>
    </w:p>
    <w:p w14:paraId="7B680D32" w14:textId="352D47B0" w:rsidR="00616B65" w:rsidRDefault="00106F48" w:rsidP="00DD0748">
      <w:pPr>
        <w:numPr>
          <w:ilvl w:val="0"/>
          <w:numId w:val="9"/>
        </w:numPr>
        <w:jc w:val="both"/>
      </w:pPr>
      <w:r w:rsidRPr="00106F48">
        <w:t>Distanční výuka zřejmě omezila možnost přehodnotit volbu střední školy v </w:t>
      </w:r>
      <w:r w:rsidRPr="003C0070">
        <w:t xml:space="preserve">průběhu studia. </w:t>
      </w:r>
      <w:r w:rsidR="00616B65" w:rsidRPr="003C0070">
        <w:t>Podíl žáků odcházejících ze středního vzdělávání během prvního roku studia v roce 2020 poklesl, v roce 2021 se opět vrátil k původnímu trendu.</w:t>
      </w:r>
      <w:r w:rsidR="00D05D4E" w:rsidRPr="003C0070">
        <w:t xml:space="preserve"> </w:t>
      </w:r>
      <w:r w:rsidR="00616B65" w:rsidRPr="003C0070">
        <w:t>Podíl žáků odcházejících ze středoškolského vzdělání po dokončení prvního ročníku byl velmi nízký v roce 2019 a 2020, nyní opět sleduje dlouhodobý klesající trend.</w:t>
      </w:r>
    </w:p>
    <w:p w14:paraId="07B4456F" w14:textId="5D54C3C0" w:rsidR="00616B65" w:rsidRDefault="00616B65" w:rsidP="00DD0748">
      <w:pPr>
        <w:numPr>
          <w:ilvl w:val="0"/>
          <w:numId w:val="9"/>
        </w:numPr>
        <w:jc w:val="both"/>
      </w:pPr>
      <w:r w:rsidRPr="00C36761">
        <w:t xml:space="preserve">Podíl žáků odcházejících ze základní školy bez dosaženého stupně vzdělání v oboru Základní škola v roce 2020 poklesl, </w:t>
      </w:r>
      <w:r w:rsidR="003D247B" w:rsidRPr="00C36761">
        <w:t>a</w:t>
      </w:r>
      <w:r w:rsidRPr="00C36761">
        <w:t xml:space="preserve"> pokles </w:t>
      </w:r>
      <w:r w:rsidR="003D247B" w:rsidRPr="00C36761">
        <w:t>od té doby dále</w:t>
      </w:r>
      <w:r w:rsidRPr="00C36761">
        <w:t xml:space="preserve"> pokračuje, </w:t>
      </w:r>
      <w:r w:rsidR="003D247B" w:rsidRPr="00C36761">
        <w:t>byl tak nastaven pozitivní tren</w:t>
      </w:r>
      <w:r w:rsidR="00BC5F58" w:rsidRPr="00C36761">
        <w:t>d</w:t>
      </w:r>
      <w:r w:rsidR="00C36761">
        <w:t>.</w:t>
      </w:r>
    </w:p>
    <w:p w14:paraId="5B9D5045" w14:textId="25DD3F61" w:rsidR="00616B65" w:rsidRDefault="00616B65" w:rsidP="00DD0748">
      <w:pPr>
        <w:numPr>
          <w:ilvl w:val="0"/>
          <w:numId w:val="9"/>
        </w:numPr>
        <w:jc w:val="both"/>
      </w:pPr>
      <w:r w:rsidRPr="00C36761">
        <w:t>Podíl absolventů ZŠ, kteří v daném roce nepokračují na SŠ nebo konzervatoři</w:t>
      </w:r>
      <w:r w:rsidR="00696FF6" w:rsidRPr="00C36761">
        <w:t>,</w:t>
      </w:r>
      <w:r w:rsidRPr="00C36761">
        <w:t xml:space="preserve"> </w:t>
      </w:r>
      <w:r w:rsidR="003F3D00" w:rsidRPr="00C36761">
        <w:t>zaznamenal</w:t>
      </w:r>
      <w:r w:rsidR="003F3D00" w:rsidRPr="00B07B92">
        <w:t xml:space="preserve"> v roce 2021 nárůst</w:t>
      </w:r>
      <w:r w:rsidR="0061040E" w:rsidRPr="00B07B92">
        <w:t xml:space="preserve"> a od té doby narůstá dále.</w:t>
      </w:r>
    </w:p>
    <w:p w14:paraId="23BFB235" w14:textId="6F243B2F" w:rsidR="00C81101" w:rsidRDefault="00202043" w:rsidP="00202043">
      <w:pPr>
        <w:ind w:left="360"/>
        <w:jc w:val="both"/>
      </w:pPr>
      <w:r>
        <w:t xml:space="preserve">Krom toho se v </w:t>
      </w:r>
      <w:r w:rsidR="00C81101" w:rsidRPr="00616B65">
        <w:t xml:space="preserve">roce 2021 </w:t>
      </w:r>
      <w:r w:rsidR="00D26521">
        <w:t>d</w:t>
      </w:r>
      <w:r w:rsidR="006C1B89">
        <w:t xml:space="preserve">očasně </w:t>
      </w:r>
      <w:r w:rsidR="00C81101" w:rsidRPr="00C36761">
        <w:t xml:space="preserve">zvýšil podíl úspěšných </w:t>
      </w:r>
      <w:proofErr w:type="spellStart"/>
      <w:r w:rsidR="00C81101" w:rsidRPr="00C36761">
        <w:t>prvomaturantů</w:t>
      </w:r>
      <w:proofErr w:type="spellEnd"/>
      <w:r w:rsidR="00C81101" w:rsidRPr="00C36761">
        <w:t>.</w:t>
      </w:r>
    </w:p>
    <w:p w14:paraId="13DCD6CE" w14:textId="77777777" w:rsidR="00862A7F" w:rsidRPr="00FA42EB" w:rsidRDefault="00862A7F" w:rsidP="00862A7F">
      <w:pPr>
        <w:pStyle w:val="Nadpis4"/>
      </w:pPr>
      <w:r w:rsidRPr="00FA42EB">
        <w:t>Účast na vzdělávání</w:t>
      </w:r>
    </w:p>
    <w:p w14:paraId="213D35AC" w14:textId="77777777" w:rsidR="00D377FA" w:rsidRDefault="00D377FA" w:rsidP="00DD0748">
      <w:pPr>
        <w:numPr>
          <w:ilvl w:val="0"/>
          <w:numId w:val="9"/>
        </w:numPr>
        <w:jc w:val="both"/>
      </w:pPr>
      <w:r w:rsidRPr="00D377FA">
        <w:t xml:space="preserve">U mladých lidí (15–19 let) došlo v roce 2022 k přechodnému nárůstu osob mimo vzdělávání a trh práce (tzv. </w:t>
      </w:r>
      <w:proofErr w:type="spellStart"/>
      <w:r w:rsidRPr="00D377FA">
        <w:t>NEETs</w:t>
      </w:r>
      <w:proofErr w:type="spellEnd"/>
      <w:r w:rsidRPr="00D377FA">
        <w:t>), situace se v roce 2023 stabilizovala.</w:t>
      </w:r>
    </w:p>
    <w:p w14:paraId="3E2AD5D0" w14:textId="77777777" w:rsidR="00D377FA" w:rsidRDefault="00D377FA" w:rsidP="00DD0748">
      <w:pPr>
        <w:numPr>
          <w:ilvl w:val="0"/>
          <w:numId w:val="9"/>
        </w:numPr>
        <w:jc w:val="both"/>
      </w:pPr>
      <w:r w:rsidRPr="00D377FA">
        <w:t>Během pandemie klesl podíl dospělých účastnících se dalšího vzdělávání (zejména rekvalifikací a kurzů). Od roku 2022 je patrný návrat k růstu.</w:t>
      </w:r>
    </w:p>
    <w:p w14:paraId="43A7A6B2" w14:textId="65B03188" w:rsidR="00616B65" w:rsidRPr="00616B65" w:rsidRDefault="00616B65" w:rsidP="00DD0748">
      <w:pPr>
        <w:numPr>
          <w:ilvl w:val="0"/>
          <w:numId w:val="9"/>
        </w:numPr>
        <w:jc w:val="both"/>
      </w:pPr>
      <w:r w:rsidRPr="00953FE8">
        <w:t xml:space="preserve">V roce 2021 se zastavil trend nárůstu </w:t>
      </w:r>
      <w:r w:rsidRPr="00D377FA">
        <w:t>podílu žáků se zdravotním znevýhodněním vzdělávajících se v běžných třídách ZŠ a SŠ</w:t>
      </w:r>
      <w:r w:rsidR="00D377FA">
        <w:t>.</w:t>
      </w:r>
      <w:r w:rsidRPr="00953FE8">
        <w:t xml:space="preserve"> </w:t>
      </w:r>
      <w:r w:rsidR="00D377FA" w:rsidRPr="00D377FA">
        <w:t>Od roku 2022 se trend obnovil</w:t>
      </w:r>
      <w:r w:rsidR="00947023">
        <w:t>.</w:t>
      </w:r>
    </w:p>
    <w:p w14:paraId="15B1AFEA" w14:textId="77777777" w:rsidR="00D377FA" w:rsidRDefault="00616B65" w:rsidP="00DD0748">
      <w:pPr>
        <w:numPr>
          <w:ilvl w:val="0"/>
          <w:numId w:val="9"/>
        </w:numPr>
        <w:jc w:val="both"/>
      </w:pPr>
      <w:r w:rsidRPr="001F7B68">
        <w:lastRenderedPageBreak/>
        <w:t xml:space="preserve">V období covidu se pozastavil rostoucí trend </w:t>
      </w:r>
      <w:r w:rsidRPr="00D377FA">
        <w:t xml:space="preserve">podílu dětí a žáků s podpůrným opatřením s kódem </w:t>
      </w:r>
      <w:r w:rsidR="00A24BBB" w:rsidRPr="00D377FA">
        <w:t>normované finanční náročnosti (NFN)</w:t>
      </w:r>
      <w:r w:rsidRPr="001F7B68">
        <w:t>. V MŠ a ZŠ se poté rostoucí trend obnovil</w:t>
      </w:r>
      <w:r w:rsidR="001F7B68" w:rsidRPr="001F7B68">
        <w:t>.</w:t>
      </w:r>
      <w:r w:rsidRPr="001F7B68">
        <w:t xml:space="preserve"> </w:t>
      </w:r>
      <w:r w:rsidR="00D377FA" w:rsidRPr="001F7B68">
        <w:t>V SŠ je od roku 2021 podíl žáků s podpůrným opatřením stabilní.</w:t>
      </w:r>
    </w:p>
    <w:p w14:paraId="5C55F1DC" w14:textId="1131F551" w:rsidR="00C93EC9" w:rsidRDefault="00C93EC9" w:rsidP="00DD0748">
      <w:pPr>
        <w:numPr>
          <w:ilvl w:val="0"/>
          <w:numId w:val="9"/>
        </w:numPr>
        <w:jc w:val="both"/>
      </w:pPr>
      <w:r>
        <w:t>Možný dopad měla epidemie covid-19 i na zvýšený nárůst odkladů povinné školní docházky (viz předchozí kapitola).</w:t>
      </w:r>
    </w:p>
    <w:p w14:paraId="35966367" w14:textId="0C87F9D3" w:rsidR="00616B65" w:rsidRDefault="00E57EBF" w:rsidP="00B04F54">
      <w:r w:rsidRPr="00E57EBF">
        <w:rPr>
          <w:noProof/>
        </w:rPr>
        <w:drawing>
          <wp:inline distT="0" distB="0" distL="0" distR="0" wp14:anchorId="18A8E099" wp14:editId="4EC66359">
            <wp:extent cx="9071610" cy="3195955"/>
            <wp:effectExtent l="0" t="0" r="0" b="4445"/>
            <wp:docPr id="139552957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71610" cy="3195955"/>
                    </a:xfrm>
                    <a:prstGeom prst="rect">
                      <a:avLst/>
                    </a:prstGeom>
                    <a:noFill/>
                    <a:ln>
                      <a:noFill/>
                    </a:ln>
                  </pic:spPr>
                </pic:pic>
              </a:graphicData>
            </a:graphic>
          </wp:inline>
        </w:drawing>
      </w:r>
    </w:p>
    <w:p w14:paraId="110001CB" w14:textId="77777777" w:rsidR="00E61454" w:rsidRDefault="00E61454" w:rsidP="00B04F54"/>
    <w:p w14:paraId="5C489AF9" w14:textId="77777777" w:rsidR="00E61454" w:rsidRDefault="00E61454" w:rsidP="00B04F54">
      <w:pPr>
        <w:sectPr w:rsidR="00E61454" w:rsidSect="00BC5256">
          <w:pgSz w:w="16838" w:h="11906" w:orient="landscape" w:code="9"/>
          <w:pgMar w:top="1021" w:right="1418" w:bottom="1021" w:left="1134" w:header="709" w:footer="709" w:gutter="0"/>
          <w:cols w:space="708"/>
          <w:titlePg/>
          <w:docGrid w:linePitch="360"/>
        </w:sectPr>
      </w:pPr>
    </w:p>
    <w:p w14:paraId="23C7D43C" w14:textId="50367927" w:rsidR="00B04F54" w:rsidRDefault="00D51521" w:rsidP="00D51521">
      <w:pPr>
        <w:pStyle w:val="Nadpis2"/>
        <w:tabs>
          <w:tab w:val="left" w:pos="1420"/>
        </w:tabs>
      </w:pPr>
      <w:bookmarkStart w:id="17" w:name="_Toc212712715"/>
      <w:r>
        <w:lastRenderedPageBreak/>
        <w:t xml:space="preserve">5. </w:t>
      </w:r>
      <w:r w:rsidR="00E61454">
        <w:t>Charakteristiky krajů</w:t>
      </w:r>
      <w:bookmarkEnd w:id="17"/>
    </w:p>
    <w:p w14:paraId="749EEFE5" w14:textId="1A31F035" w:rsidR="00D377FA" w:rsidRDefault="00D377FA" w:rsidP="008315B6">
      <w:pPr>
        <w:pStyle w:val="Odstavecseseznamem"/>
        <w:ind w:left="0"/>
        <w:contextualSpacing w:val="0"/>
        <w:jc w:val="both"/>
      </w:pPr>
      <w:r w:rsidRPr="00D377FA">
        <w:t xml:space="preserve">Cílem krajské analýzy je identifikovat regiony, které dosahují </w:t>
      </w:r>
      <w:r w:rsidRPr="00D377FA">
        <w:rPr>
          <w:b/>
          <w:bCs/>
        </w:rPr>
        <w:t>nejvyšších nebo nejnižších hodnot sledovaných indikátorů</w:t>
      </w:r>
      <w:r w:rsidRPr="00D377FA">
        <w:t>, a zhodnotit, v čem se jejich vzdělávací systémy nejvíce odlišují od republikového průměru.</w:t>
      </w:r>
      <w:r>
        <w:t xml:space="preserve"> </w:t>
      </w:r>
      <w:r w:rsidRPr="00D377FA">
        <w:t xml:space="preserve">Analýza vychází ze 125 ukazatelů s dostupným krajským členěním. Za </w:t>
      </w:r>
      <w:r w:rsidRPr="00D377FA">
        <w:rPr>
          <w:i/>
          <w:iCs/>
        </w:rPr>
        <w:t>krajní hodnoty</w:t>
      </w:r>
      <w:r w:rsidRPr="00D377FA">
        <w:t xml:space="preserve"> byly považovány dvě nejvyšší a dvě nejnižší pozice v rámci žebříčku krajů</w:t>
      </w:r>
      <w:r>
        <w:rPr>
          <w:rStyle w:val="Znakapoznpodarou"/>
        </w:rPr>
        <w:footnoteReference w:id="7"/>
      </w:r>
      <w:r w:rsidRPr="00D377FA">
        <w:t>.</w:t>
      </w:r>
    </w:p>
    <w:p w14:paraId="54D60A34" w14:textId="16CA9A61" w:rsidR="00421496" w:rsidRDefault="000F6D97" w:rsidP="000F6D97">
      <w:pPr>
        <w:pStyle w:val="Nadpis3"/>
      </w:pPr>
      <w:bookmarkStart w:id="19" w:name="_Toc212712716"/>
      <w:r>
        <w:t>Souhrn hlavních výsledků</w:t>
      </w:r>
      <w:bookmarkEnd w:id="1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3"/>
        <w:gridCol w:w="2985"/>
        <w:gridCol w:w="9508"/>
      </w:tblGrid>
      <w:tr w:rsidR="000F6D97" w:rsidRPr="000F6D97" w14:paraId="00007D7B" w14:textId="77777777" w:rsidTr="009A58B0">
        <w:trPr>
          <w:tblHeader/>
          <w:tblCellSpacing w:w="15" w:type="dxa"/>
        </w:trPr>
        <w:tc>
          <w:tcPr>
            <w:tcW w:w="0" w:type="auto"/>
            <w:vAlign w:val="center"/>
            <w:hideMark/>
          </w:tcPr>
          <w:p w14:paraId="6C27C4D3" w14:textId="77777777" w:rsidR="000F6D97" w:rsidRPr="000F6D97" w:rsidRDefault="000F6D97" w:rsidP="000F6D97">
            <w:pPr>
              <w:pStyle w:val="Odstavecseseznamem"/>
              <w:ind w:left="360"/>
              <w:rPr>
                <w:b/>
                <w:bCs/>
              </w:rPr>
            </w:pPr>
            <w:r w:rsidRPr="000F6D97">
              <w:rPr>
                <w:b/>
                <w:bCs/>
              </w:rPr>
              <w:t>Kraj</w:t>
            </w:r>
          </w:p>
        </w:tc>
        <w:tc>
          <w:tcPr>
            <w:tcW w:w="0" w:type="auto"/>
            <w:vAlign w:val="center"/>
            <w:hideMark/>
          </w:tcPr>
          <w:p w14:paraId="4CB6D301" w14:textId="77777777" w:rsidR="000F6D97" w:rsidRPr="000F6D97" w:rsidRDefault="000F6D97" w:rsidP="000F6D97">
            <w:pPr>
              <w:pStyle w:val="Odstavecseseznamem"/>
              <w:ind w:left="360"/>
              <w:rPr>
                <w:b/>
                <w:bCs/>
              </w:rPr>
            </w:pPr>
            <w:r w:rsidRPr="000F6D97">
              <w:rPr>
                <w:b/>
                <w:bCs/>
              </w:rPr>
              <w:t>Počet dosažených krajních hodnot</w:t>
            </w:r>
          </w:p>
        </w:tc>
        <w:tc>
          <w:tcPr>
            <w:tcW w:w="0" w:type="auto"/>
            <w:vAlign w:val="center"/>
            <w:hideMark/>
          </w:tcPr>
          <w:p w14:paraId="1CC9AD0D" w14:textId="77777777" w:rsidR="000F6D97" w:rsidRPr="000F6D97" w:rsidRDefault="000F6D97" w:rsidP="000F6D97">
            <w:pPr>
              <w:pStyle w:val="Odstavecseseznamem"/>
              <w:ind w:left="360"/>
              <w:rPr>
                <w:b/>
                <w:bCs/>
              </w:rPr>
            </w:pPr>
            <w:r w:rsidRPr="000F6D97">
              <w:rPr>
                <w:b/>
                <w:bCs/>
              </w:rPr>
              <w:t>Charakteristika</w:t>
            </w:r>
          </w:p>
        </w:tc>
      </w:tr>
      <w:tr w:rsidR="000F6D97" w:rsidRPr="000F6D97" w14:paraId="05673B0E" w14:textId="77777777" w:rsidTr="009A58B0">
        <w:trPr>
          <w:tblCellSpacing w:w="15" w:type="dxa"/>
        </w:trPr>
        <w:tc>
          <w:tcPr>
            <w:tcW w:w="0" w:type="auto"/>
            <w:vAlign w:val="center"/>
            <w:hideMark/>
          </w:tcPr>
          <w:p w14:paraId="2DDA7C2D" w14:textId="77777777" w:rsidR="000F6D97" w:rsidRPr="000F6D97" w:rsidRDefault="000F6D97" w:rsidP="000F6D97">
            <w:pPr>
              <w:pStyle w:val="Odstavecseseznamem"/>
              <w:ind w:left="360"/>
            </w:pPr>
            <w:r w:rsidRPr="000F6D97">
              <w:rPr>
                <w:b/>
                <w:bCs/>
              </w:rPr>
              <w:t>Hl. m. Praha</w:t>
            </w:r>
          </w:p>
        </w:tc>
        <w:tc>
          <w:tcPr>
            <w:tcW w:w="0" w:type="auto"/>
            <w:vAlign w:val="center"/>
            <w:hideMark/>
          </w:tcPr>
          <w:p w14:paraId="31DA8F6F" w14:textId="77777777" w:rsidR="000F6D97" w:rsidRPr="000F6D97" w:rsidRDefault="000F6D97" w:rsidP="000F6D97">
            <w:pPr>
              <w:pStyle w:val="Odstavecseseznamem"/>
              <w:ind w:left="360"/>
            </w:pPr>
            <w:r w:rsidRPr="000F6D97">
              <w:t>86</w:t>
            </w:r>
          </w:p>
        </w:tc>
        <w:tc>
          <w:tcPr>
            <w:tcW w:w="0" w:type="auto"/>
            <w:vAlign w:val="center"/>
            <w:hideMark/>
          </w:tcPr>
          <w:p w14:paraId="28BD68B9" w14:textId="77777777" w:rsidR="000F6D97" w:rsidRPr="000F6D97" w:rsidRDefault="000F6D97" w:rsidP="000F6D97">
            <w:pPr>
              <w:pStyle w:val="Odstavecseseznamem"/>
              <w:ind w:left="360"/>
            </w:pPr>
            <w:r w:rsidRPr="000F6D97">
              <w:t>Výrazně specifický region – nejlepší vzdělávací výsledky, nejvyšší aspirace žáků, ale také nejnižší relativní mzdy pedagogů.</w:t>
            </w:r>
          </w:p>
        </w:tc>
      </w:tr>
      <w:tr w:rsidR="000F6D97" w:rsidRPr="000F6D97" w14:paraId="18903CF0" w14:textId="77777777" w:rsidTr="009A58B0">
        <w:trPr>
          <w:tblCellSpacing w:w="15" w:type="dxa"/>
        </w:trPr>
        <w:tc>
          <w:tcPr>
            <w:tcW w:w="0" w:type="auto"/>
            <w:vAlign w:val="center"/>
            <w:hideMark/>
          </w:tcPr>
          <w:p w14:paraId="64514440" w14:textId="77777777" w:rsidR="000F6D97" w:rsidRPr="000F6D97" w:rsidRDefault="000F6D97" w:rsidP="000F6D97">
            <w:pPr>
              <w:pStyle w:val="Odstavecseseznamem"/>
              <w:ind w:left="360"/>
            </w:pPr>
            <w:r w:rsidRPr="000F6D97">
              <w:rPr>
                <w:b/>
                <w:bCs/>
              </w:rPr>
              <w:t>Karlovarský kraj</w:t>
            </w:r>
          </w:p>
        </w:tc>
        <w:tc>
          <w:tcPr>
            <w:tcW w:w="0" w:type="auto"/>
            <w:vAlign w:val="center"/>
            <w:hideMark/>
          </w:tcPr>
          <w:p w14:paraId="1CB445FC" w14:textId="77777777" w:rsidR="000F6D97" w:rsidRPr="000F6D97" w:rsidRDefault="000F6D97" w:rsidP="000F6D97">
            <w:pPr>
              <w:pStyle w:val="Odstavecseseznamem"/>
              <w:ind w:left="360"/>
            </w:pPr>
            <w:r w:rsidRPr="000F6D97">
              <w:t>80</w:t>
            </w:r>
          </w:p>
        </w:tc>
        <w:tc>
          <w:tcPr>
            <w:tcW w:w="0" w:type="auto"/>
            <w:vAlign w:val="center"/>
            <w:hideMark/>
          </w:tcPr>
          <w:p w14:paraId="4AED9C41" w14:textId="76C86FBF" w:rsidR="000F6D97" w:rsidRPr="000F6D97" w:rsidRDefault="000F6D97" w:rsidP="000F6D97">
            <w:pPr>
              <w:pStyle w:val="Odstavecseseznamem"/>
              <w:ind w:left="360"/>
            </w:pPr>
            <w:r w:rsidRPr="000F6D97">
              <w:t>Výrazně specifický, s nízkými vzdělanostními výsledky, vysokým podílem nekvalifikovaných učitelů a</w:t>
            </w:r>
            <w:r w:rsidR="00DF6E08">
              <w:t> </w:t>
            </w:r>
            <w:r w:rsidRPr="000F6D97">
              <w:t>nízkou účastí v MŠ.</w:t>
            </w:r>
          </w:p>
        </w:tc>
      </w:tr>
      <w:tr w:rsidR="000F6D97" w:rsidRPr="000F6D97" w14:paraId="011B9B0B" w14:textId="77777777" w:rsidTr="009A58B0">
        <w:trPr>
          <w:tblCellSpacing w:w="15" w:type="dxa"/>
        </w:trPr>
        <w:tc>
          <w:tcPr>
            <w:tcW w:w="0" w:type="auto"/>
            <w:vAlign w:val="center"/>
            <w:hideMark/>
          </w:tcPr>
          <w:p w14:paraId="707E7610" w14:textId="77777777" w:rsidR="000F6D97" w:rsidRPr="000F6D97" w:rsidRDefault="000F6D97" w:rsidP="000F6D97">
            <w:pPr>
              <w:pStyle w:val="Odstavecseseznamem"/>
              <w:ind w:left="360"/>
            </w:pPr>
            <w:r w:rsidRPr="000F6D97">
              <w:rPr>
                <w:b/>
                <w:bCs/>
              </w:rPr>
              <w:t>Ústecký kraj</w:t>
            </w:r>
          </w:p>
        </w:tc>
        <w:tc>
          <w:tcPr>
            <w:tcW w:w="0" w:type="auto"/>
            <w:vAlign w:val="center"/>
            <w:hideMark/>
          </w:tcPr>
          <w:p w14:paraId="3E842A77" w14:textId="77777777" w:rsidR="000F6D97" w:rsidRPr="000F6D97" w:rsidRDefault="000F6D97" w:rsidP="000F6D97">
            <w:pPr>
              <w:pStyle w:val="Odstavecseseznamem"/>
              <w:ind w:left="360"/>
            </w:pPr>
            <w:r w:rsidRPr="000F6D97">
              <w:t>65</w:t>
            </w:r>
          </w:p>
        </w:tc>
        <w:tc>
          <w:tcPr>
            <w:tcW w:w="0" w:type="auto"/>
            <w:vAlign w:val="center"/>
            <w:hideMark/>
          </w:tcPr>
          <w:p w14:paraId="6F5DEB5F" w14:textId="2F895F0A" w:rsidR="000F6D97" w:rsidRPr="000F6D97" w:rsidRDefault="000F6D97" w:rsidP="000F6D97">
            <w:pPr>
              <w:pStyle w:val="Odstavecseseznamem"/>
              <w:ind w:left="360"/>
            </w:pPr>
            <w:r w:rsidRPr="000F6D97">
              <w:t>Specifický region s vysokým počtem žáků se speciálními potřebami, nízk</w:t>
            </w:r>
            <w:r w:rsidR="000960EF">
              <w:t xml:space="preserve">ými </w:t>
            </w:r>
            <w:r w:rsidRPr="000F6D97">
              <w:t>aspirac</w:t>
            </w:r>
            <w:r w:rsidR="000960EF">
              <w:t>emi žáků</w:t>
            </w:r>
            <w:r w:rsidRPr="000F6D97">
              <w:t xml:space="preserve"> a vyšší mírou předčasných odchodů.</w:t>
            </w:r>
          </w:p>
        </w:tc>
      </w:tr>
      <w:tr w:rsidR="000F6D97" w:rsidRPr="000F6D97" w14:paraId="6A8F5A71" w14:textId="77777777" w:rsidTr="009A58B0">
        <w:trPr>
          <w:tblCellSpacing w:w="15" w:type="dxa"/>
        </w:trPr>
        <w:tc>
          <w:tcPr>
            <w:tcW w:w="0" w:type="auto"/>
            <w:vAlign w:val="center"/>
            <w:hideMark/>
          </w:tcPr>
          <w:p w14:paraId="1B17AE78" w14:textId="77777777" w:rsidR="000F6D97" w:rsidRPr="000F6D97" w:rsidRDefault="000F6D97" w:rsidP="000F6D97">
            <w:pPr>
              <w:pStyle w:val="Odstavecseseznamem"/>
              <w:ind w:left="360"/>
            </w:pPr>
            <w:r w:rsidRPr="000F6D97">
              <w:rPr>
                <w:b/>
                <w:bCs/>
              </w:rPr>
              <w:t>Zlínský kraj</w:t>
            </w:r>
          </w:p>
        </w:tc>
        <w:tc>
          <w:tcPr>
            <w:tcW w:w="0" w:type="auto"/>
            <w:vAlign w:val="center"/>
            <w:hideMark/>
          </w:tcPr>
          <w:p w14:paraId="768CF148" w14:textId="77777777" w:rsidR="000F6D97" w:rsidRPr="000F6D97" w:rsidRDefault="000F6D97" w:rsidP="000F6D97">
            <w:pPr>
              <w:pStyle w:val="Odstavecseseznamem"/>
              <w:ind w:left="360"/>
            </w:pPr>
            <w:r w:rsidRPr="000F6D97">
              <w:t>42</w:t>
            </w:r>
          </w:p>
        </w:tc>
        <w:tc>
          <w:tcPr>
            <w:tcW w:w="0" w:type="auto"/>
            <w:vAlign w:val="center"/>
            <w:hideMark/>
          </w:tcPr>
          <w:p w14:paraId="18114BA3" w14:textId="77777777" w:rsidR="000F6D97" w:rsidRPr="000F6D97" w:rsidRDefault="000F6D97" w:rsidP="000F6D97">
            <w:pPr>
              <w:pStyle w:val="Odstavecseseznamem"/>
              <w:ind w:left="360"/>
            </w:pPr>
            <w:r w:rsidRPr="000F6D97">
              <w:t>Stabilně dobré výsledky, vysoká kvalifikovanost učitelů, nízké opakování ročníků.</w:t>
            </w:r>
          </w:p>
        </w:tc>
      </w:tr>
      <w:tr w:rsidR="000F6D97" w:rsidRPr="000F6D97" w14:paraId="6586C15F" w14:textId="77777777" w:rsidTr="009A58B0">
        <w:trPr>
          <w:tblCellSpacing w:w="15" w:type="dxa"/>
        </w:trPr>
        <w:tc>
          <w:tcPr>
            <w:tcW w:w="0" w:type="auto"/>
            <w:vAlign w:val="center"/>
            <w:hideMark/>
          </w:tcPr>
          <w:p w14:paraId="188DA407" w14:textId="77777777" w:rsidR="000F6D97" w:rsidRPr="000F6D97" w:rsidRDefault="000F6D97" w:rsidP="000F6D97">
            <w:pPr>
              <w:pStyle w:val="Odstavecseseznamem"/>
              <w:ind w:left="360"/>
            </w:pPr>
            <w:r w:rsidRPr="000F6D97">
              <w:rPr>
                <w:b/>
                <w:bCs/>
              </w:rPr>
              <w:t>Kraj Vysočina</w:t>
            </w:r>
          </w:p>
        </w:tc>
        <w:tc>
          <w:tcPr>
            <w:tcW w:w="0" w:type="auto"/>
            <w:vAlign w:val="center"/>
            <w:hideMark/>
          </w:tcPr>
          <w:p w14:paraId="0CDA6781" w14:textId="77777777" w:rsidR="000F6D97" w:rsidRPr="000F6D97" w:rsidRDefault="000F6D97" w:rsidP="000F6D97">
            <w:pPr>
              <w:pStyle w:val="Odstavecseseznamem"/>
              <w:ind w:left="360"/>
            </w:pPr>
            <w:r w:rsidRPr="000F6D97">
              <w:t>34</w:t>
            </w:r>
          </w:p>
        </w:tc>
        <w:tc>
          <w:tcPr>
            <w:tcW w:w="0" w:type="auto"/>
            <w:vAlign w:val="center"/>
            <w:hideMark/>
          </w:tcPr>
          <w:p w14:paraId="31C173DD" w14:textId="28CAE8B1" w:rsidR="000F6D97" w:rsidRPr="000F6D97" w:rsidRDefault="000F6D97" w:rsidP="000F6D97">
            <w:pPr>
              <w:pStyle w:val="Odstavecseseznamem"/>
              <w:ind w:left="360"/>
            </w:pPr>
            <w:r w:rsidRPr="000F6D97">
              <w:t xml:space="preserve">Nadprůměrná účast v předškolním vzdělávání, </w:t>
            </w:r>
            <w:r w:rsidR="0024586E" w:rsidRPr="0024586E">
              <w:t>vysoký podíl žáků vzdělávaných v malých a malotřídních ZŠ</w:t>
            </w:r>
            <w:r w:rsidR="0024586E">
              <w:t>,</w:t>
            </w:r>
            <w:r w:rsidR="0024586E" w:rsidRPr="0024586E">
              <w:t xml:space="preserve"> </w:t>
            </w:r>
            <w:r w:rsidRPr="000F6D97">
              <w:t>nízký podíl odchodů ze ZŠ.</w:t>
            </w:r>
          </w:p>
        </w:tc>
      </w:tr>
      <w:tr w:rsidR="000F6D97" w:rsidRPr="000F6D97" w14:paraId="751854C3" w14:textId="77777777" w:rsidTr="009A58B0">
        <w:trPr>
          <w:tblCellSpacing w:w="15" w:type="dxa"/>
        </w:trPr>
        <w:tc>
          <w:tcPr>
            <w:tcW w:w="0" w:type="auto"/>
            <w:vAlign w:val="center"/>
            <w:hideMark/>
          </w:tcPr>
          <w:p w14:paraId="7DB53C6A" w14:textId="77777777" w:rsidR="000F6D97" w:rsidRPr="000F6D97" w:rsidRDefault="000F6D97" w:rsidP="000F6D97">
            <w:pPr>
              <w:pStyle w:val="Odstavecseseznamem"/>
              <w:ind w:left="360"/>
            </w:pPr>
            <w:r w:rsidRPr="000F6D97">
              <w:t>Ostatní kraje</w:t>
            </w:r>
          </w:p>
        </w:tc>
        <w:tc>
          <w:tcPr>
            <w:tcW w:w="0" w:type="auto"/>
            <w:vAlign w:val="center"/>
            <w:hideMark/>
          </w:tcPr>
          <w:p w14:paraId="2CDBA5B8" w14:textId="77777777" w:rsidR="000F6D97" w:rsidRPr="000F6D97" w:rsidRDefault="000F6D97" w:rsidP="000F6D97">
            <w:pPr>
              <w:pStyle w:val="Odstavecseseznamem"/>
              <w:ind w:left="360"/>
            </w:pPr>
            <w:r w:rsidRPr="000F6D97">
              <w:t>11–31</w:t>
            </w:r>
          </w:p>
        </w:tc>
        <w:tc>
          <w:tcPr>
            <w:tcW w:w="0" w:type="auto"/>
            <w:vAlign w:val="center"/>
            <w:hideMark/>
          </w:tcPr>
          <w:p w14:paraId="01715D63" w14:textId="77777777" w:rsidR="000F6D97" w:rsidRPr="000F6D97" w:rsidRDefault="000F6D97" w:rsidP="000F6D97">
            <w:pPr>
              <w:pStyle w:val="Odstavecseseznamem"/>
              <w:ind w:left="360"/>
            </w:pPr>
            <w:r w:rsidRPr="000F6D97">
              <w:t>Převážně průměrné hodnoty bez výrazných extrémů.</w:t>
            </w:r>
          </w:p>
        </w:tc>
      </w:tr>
    </w:tbl>
    <w:p w14:paraId="6A0839C8" w14:textId="77777777" w:rsidR="000F6D97" w:rsidRDefault="000F6D97">
      <w:pPr>
        <w:spacing w:line="276" w:lineRule="auto"/>
        <w:rPr>
          <w:rFonts w:eastAsiaTheme="majorEastAsia" w:cstheme="majorBidi"/>
          <w:b/>
          <w:color w:val="428D96"/>
          <w:sz w:val="32"/>
          <w:szCs w:val="32"/>
        </w:rPr>
      </w:pPr>
      <w:r>
        <w:br w:type="page"/>
      </w:r>
    </w:p>
    <w:p w14:paraId="4D6EF0F2" w14:textId="55B70A05" w:rsidR="002B5A81" w:rsidRDefault="00D9644D" w:rsidP="00406B45">
      <w:pPr>
        <w:pStyle w:val="Nadpis3"/>
      </w:pPr>
      <w:bookmarkStart w:id="20" w:name="_Toc212712717"/>
      <w:r>
        <w:lastRenderedPageBreak/>
        <w:t>Shrnutí charakteristik jednotli</w:t>
      </w:r>
      <w:r w:rsidR="00575B54">
        <w:t>vých</w:t>
      </w:r>
      <w:r w:rsidR="002B50FB">
        <w:t xml:space="preserve"> krajů</w:t>
      </w:r>
      <w:bookmarkEnd w:id="20"/>
    </w:p>
    <w:p w14:paraId="1531CDBB" w14:textId="184AD2D5" w:rsidR="000D0D4A" w:rsidRPr="000D0D4A" w:rsidRDefault="000D0D4A" w:rsidP="002B5A81">
      <w:pPr>
        <w:pStyle w:val="Odstavecseseznamem"/>
        <w:ind w:left="0"/>
        <w:contextualSpacing w:val="0"/>
      </w:pPr>
      <w:r>
        <w:t>Následující</w:t>
      </w:r>
      <w:r w:rsidRPr="000D0D4A">
        <w:t xml:space="preserve"> tabulka nabízí </w:t>
      </w:r>
      <w:r>
        <w:t>celkový</w:t>
      </w:r>
      <w:r w:rsidRPr="000D0D4A">
        <w:t xml:space="preserve"> </w:t>
      </w:r>
      <w:r>
        <w:t>přehled o</w:t>
      </w:r>
      <w:r w:rsidRPr="000D0D4A">
        <w:t xml:space="preserve"> klíčov</w:t>
      </w:r>
      <w:r>
        <w:t>ých</w:t>
      </w:r>
      <w:r w:rsidRPr="000D0D4A">
        <w:t xml:space="preserve"> vzdělávací</w:t>
      </w:r>
      <w:r>
        <w:t>ch</w:t>
      </w:r>
      <w:r w:rsidRPr="000D0D4A">
        <w:t xml:space="preserve"> charakteristik</w:t>
      </w:r>
      <w:r>
        <w:t>ách</w:t>
      </w:r>
      <w:r w:rsidRPr="000D0D4A">
        <w:t xml:space="preserve"> a výzv</w:t>
      </w:r>
      <w:r>
        <w:t>ách</w:t>
      </w:r>
      <w:r w:rsidRPr="000D0D4A">
        <w:t xml:space="preserve"> v jednotlivých krajích ČR</w:t>
      </w:r>
      <w:r w:rsidR="008C2443">
        <w:rPr>
          <w:rStyle w:val="Znakapoznpodarou"/>
        </w:rPr>
        <w:footnoteReference w:id="8"/>
      </w:r>
      <w:r w:rsidRPr="000D0D4A">
        <w:t>.</w:t>
      </w:r>
    </w:p>
    <w:tbl>
      <w:tblPr>
        <w:tblW w:w="14616" w:type="dxa"/>
        <w:tblCellMar>
          <w:left w:w="70" w:type="dxa"/>
          <w:right w:w="70" w:type="dxa"/>
        </w:tblCellMar>
        <w:tblLook w:val="04A0" w:firstRow="1" w:lastRow="0" w:firstColumn="1" w:lastColumn="0" w:noHBand="0" w:noVBand="1"/>
      </w:tblPr>
      <w:tblGrid>
        <w:gridCol w:w="1507"/>
        <w:gridCol w:w="1327"/>
        <w:gridCol w:w="4107"/>
        <w:gridCol w:w="3827"/>
        <w:gridCol w:w="3848"/>
      </w:tblGrid>
      <w:tr w:rsidR="00D8026D" w:rsidRPr="00D8026D" w14:paraId="2564F33D" w14:textId="77777777" w:rsidTr="009A58B0">
        <w:trPr>
          <w:trHeight w:val="555"/>
          <w:tblHeader/>
        </w:trPr>
        <w:tc>
          <w:tcPr>
            <w:tcW w:w="1507" w:type="dxa"/>
            <w:tcBorders>
              <w:top w:val="single" w:sz="4" w:space="0" w:color="4EA72E"/>
              <w:left w:val="single" w:sz="4" w:space="0" w:color="4EA72E"/>
              <w:bottom w:val="nil"/>
              <w:right w:val="nil"/>
            </w:tcBorders>
            <w:shd w:val="clear" w:color="4EA72E" w:fill="4EA72E"/>
            <w:hideMark/>
          </w:tcPr>
          <w:p w14:paraId="61079E2F" w14:textId="77777777" w:rsidR="00D8026D" w:rsidRPr="00D8026D" w:rsidRDefault="00D8026D" w:rsidP="00D8026D">
            <w:pPr>
              <w:spacing w:after="0"/>
              <w:rPr>
                <w:rFonts w:eastAsia="Times New Roman" w:cs="Calibri"/>
                <w:b/>
                <w:bCs/>
                <w:color w:val="FFFFFF"/>
                <w:sz w:val="18"/>
                <w:szCs w:val="18"/>
                <w:lang w:eastAsia="cs-CZ"/>
              </w:rPr>
            </w:pPr>
            <w:r w:rsidRPr="00D8026D">
              <w:rPr>
                <w:rFonts w:eastAsia="Times New Roman" w:cs="Calibri"/>
                <w:b/>
                <w:bCs/>
                <w:color w:val="FFFFFF"/>
                <w:sz w:val="18"/>
                <w:szCs w:val="18"/>
                <w:lang w:eastAsia="cs-CZ"/>
              </w:rPr>
              <w:t>Kraj</w:t>
            </w:r>
          </w:p>
        </w:tc>
        <w:tc>
          <w:tcPr>
            <w:tcW w:w="1327" w:type="dxa"/>
            <w:tcBorders>
              <w:top w:val="single" w:sz="4" w:space="0" w:color="4EA72E"/>
              <w:left w:val="nil"/>
              <w:bottom w:val="nil"/>
              <w:right w:val="nil"/>
            </w:tcBorders>
            <w:shd w:val="clear" w:color="4EA72E" w:fill="4EA72E"/>
            <w:hideMark/>
          </w:tcPr>
          <w:p w14:paraId="7C4C4E0F" w14:textId="77777777" w:rsidR="00D8026D" w:rsidRPr="00D8026D" w:rsidRDefault="00D8026D" w:rsidP="00D8026D">
            <w:pPr>
              <w:spacing w:after="0"/>
              <w:rPr>
                <w:rFonts w:eastAsia="Times New Roman" w:cs="Calibri"/>
                <w:b/>
                <w:bCs/>
                <w:color w:val="FFFFFF"/>
                <w:sz w:val="18"/>
                <w:szCs w:val="18"/>
                <w:lang w:eastAsia="cs-CZ"/>
              </w:rPr>
            </w:pPr>
            <w:r w:rsidRPr="00D8026D">
              <w:rPr>
                <w:rFonts w:eastAsia="Times New Roman" w:cs="Calibri"/>
                <w:b/>
                <w:bCs/>
                <w:color w:val="FFFFFF"/>
                <w:sz w:val="18"/>
                <w:szCs w:val="18"/>
                <w:lang w:eastAsia="cs-CZ"/>
              </w:rPr>
              <w:t>Odlišnost od ostatních krajů</w:t>
            </w:r>
          </w:p>
        </w:tc>
        <w:tc>
          <w:tcPr>
            <w:tcW w:w="4107" w:type="dxa"/>
            <w:tcBorders>
              <w:top w:val="single" w:sz="4" w:space="0" w:color="4EA72E"/>
              <w:left w:val="nil"/>
              <w:bottom w:val="nil"/>
              <w:right w:val="nil"/>
            </w:tcBorders>
            <w:shd w:val="clear" w:color="4EA72E" w:fill="4EA72E"/>
            <w:hideMark/>
          </w:tcPr>
          <w:p w14:paraId="165B7F40" w14:textId="77777777" w:rsidR="00D8026D" w:rsidRPr="00D8026D" w:rsidRDefault="00D8026D" w:rsidP="00D8026D">
            <w:pPr>
              <w:spacing w:after="0"/>
              <w:rPr>
                <w:rFonts w:eastAsia="Times New Roman" w:cs="Calibri"/>
                <w:b/>
                <w:bCs/>
                <w:color w:val="FFFFFF"/>
                <w:sz w:val="18"/>
                <w:szCs w:val="18"/>
                <w:lang w:eastAsia="cs-CZ"/>
              </w:rPr>
            </w:pPr>
            <w:r w:rsidRPr="00D8026D">
              <w:rPr>
                <w:rFonts w:eastAsia="Times New Roman" w:cs="Calibri"/>
                <w:b/>
                <w:bCs/>
                <w:color w:val="FFFFFF"/>
                <w:sz w:val="18"/>
                <w:szCs w:val="18"/>
                <w:lang w:eastAsia="cs-CZ"/>
              </w:rPr>
              <w:t>Pozitiva</w:t>
            </w:r>
          </w:p>
        </w:tc>
        <w:tc>
          <w:tcPr>
            <w:tcW w:w="3827" w:type="dxa"/>
            <w:tcBorders>
              <w:top w:val="single" w:sz="4" w:space="0" w:color="4EA72E"/>
              <w:left w:val="nil"/>
              <w:bottom w:val="nil"/>
              <w:right w:val="nil"/>
            </w:tcBorders>
            <w:shd w:val="clear" w:color="4EA72E" w:fill="4EA72E"/>
            <w:hideMark/>
          </w:tcPr>
          <w:p w14:paraId="4F2D8002" w14:textId="77777777" w:rsidR="00D8026D" w:rsidRPr="00D8026D" w:rsidRDefault="00D8026D" w:rsidP="00D8026D">
            <w:pPr>
              <w:spacing w:after="0"/>
              <w:rPr>
                <w:rFonts w:eastAsia="Times New Roman" w:cs="Calibri"/>
                <w:b/>
                <w:bCs/>
                <w:color w:val="FFFFFF"/>
                <w:sz w:val="18"/>
                <w:szCs w:val="18"/>
                <w:lang w:eastAsia="cs-CZ"/>
              </w:rPr>
            </w:pPr>
            <w:r w:rsidRPr="00D8026D">
              <w:rPr>
                <w:rFonts w:eastAsia="Times New Roman" w:cs="Calibri"/>
                <w:b/>
                <w:bCs/>
                <w:color w:val="FFFFFF"/>
                <w:sz w:val="18"/>
                <w:szCs w:val="18"/>
                <w:lang w:eastAsia="cs-CZ"/>
              </w:rPr>
              <w:t>Negativa</w:t>
            </w:r>
          </w:p>
        </w:tc>
        <w:tc>
          <w:tcPr>
            <w:tcW w:w="3848" w:type="dxa"/>
            <w:tcBorders>
              <w:top w:val="single" w:sz="4" w:space="0" w:color="4EA72E"/>
              <w:left w:val="nil"/>
              <w:bottom w:val="nil"/>
              <w:right w:val="single" w:sz="4" w:space="0" w:color="4EA72E"/>
            </w:tcBorders>
            <w:shd w:val="clear" w:color="4EA72E" w:fill="4EA72E"/>
            <w:hideMark/>
          </w:tcPr>
          <w:p w14:paraId="1F94AAB0" w14:textId="77777777" w:rsidR="00D8026D" w:rsidRPr="00D8026D" w:rsidRDefault="00D8026D" w:rsidP="00D8026D">
            <w:pPr>
              <w:spacing w:after="0"/>
              <w:rPr>
                <w:rFonts w:eastAsia="Times New Roman" w:cs="Calibri"/>
                <w:b/>
                <w:bCs/>
                <w:color w:val="FFFFFF"/>
                <w:sz w:val="18"/>
                <w:szCs w:val="18"/>
                <w:lang w:eastAsia="cs-CZ"/>
              </w:rPr>
            </w:pPr>
            <w:r w:rsidRPr="00D8026D">
              <w:rPr>
                <w:rFonts w:eastAsia="Times New Roman" w:cs="Calibri"/>
                <w:b/>
                <w:bCs/>
                <w:color w:val="FFFFFF"/>
                <w:sz w:val="18"/>
                <w:szCs w:val="18"/>
                <w:lang w:eastAsia="cs-CZ"/>
              </w:rPr>
              <w:t>Kontext</w:t>
            </w:r>
          </w:p>
        </w:tc>
      </w:tr>
      <w:tr w:rsidR="00D8026D" w:rsidRPr="00D8026D" w14:paraId="7266BD11" w14:textId="77777777" w:rsidTr="009A58B0">
        <w:trPr>
          <w:trHeight w:val="3218"/>
        </w:trPr>
        <w:tc>
          <w:tcPr>
            <w:tcW w:w="1507" w:type="dxa"/>
            <w:tcBorders>
              <w:top w:val="single" w:sz="4" w:space="0" w:color="4EA72E"/>
              <w:left w:val="single" w:sz="4" w:space="0" w:color="4EA72E"/>
              <w:bottom w:val="nil"/>
              <w:right w:val="nil"/>
            </w:tcBorders>
            <w:hideMark/>
          </w:tcPr>
          <w:p w14:paraId="2CD421B6"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Hl. m. Praha</w:t>
            </w:r>
          </w:p>
        </w:tc>
        <w:tc>
          <w:tcPr>
            <w:tcW w:w="1327" w:type="dxa"/>
            <w:tcBorders>
              <w:top w:val="single" w:sz="4" w:space="0" w:color="4EA72E"/>
              <w:left w:val="nil"/>
              <w:bottom w:val="nil"/>
              <w:right w:val="nil"/>
            </w:tcBorders>
            <w:hideMark/>
          </w:tcPr>
          <w:p w14:paraId="611DFF95"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Výrazná</w:t>
            </w:r>
          </w:p>
        </w:tc>
        <w:tc>
          <w:tcPr>
            <w:tcW w:w="4107" w:type="dxa"/>
            <w:tcBorders>
              <w:top w:val="single" w:sz="4" w:space="0" w:color="4EA72E"/>
              <w:left w:val="nil"/>
              <w:bottom w:val="nil"/>
              <w:right w:val="nil"/>
            </w:tcBorders>
            <w:hideMark/>
          </w:tcPr>
          <w:p w14:paraId="56E2E75F" w14:textId="0F34FBDA"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Vysoké zastoupení školních psychologů 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speciálních pedagogů ve školách. Na úrovni středního vzdělávání vysoký podíl žáků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maturitních oborech (gymnaziálních 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negymnaziálních) a naopak nízký podíl žáků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oborech s výučním listem. Žáci z oborů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 xml:space="preserve">výučním listem se následně </w:t>
            </w:r>
            <w:proofErr w:type="gramStart"/>
            <w:r w:rsidRPr="00D8026D">
              <w:rPr>
                <w:rFonts w:eastAsia="Times New Roman" w:cs="Calibri"/>
                <w:color w:val="000000"/>
                <w:sz w:val="18"/>
                <w:szCs w:val="18"/>
                <w:lang w:eastAsia="cs-CZ"/>
              </w:rPr>
              <w:t>častěji</w:t>
            </w:r>
            <w:proofErr w:type="gramEnd"/>
            <w:r w:rsidRPr="00D8026D">
              <w:rPr>
                <w:rFonts w:eastAsia="Times New Roman" w:cs="Calibri"/>
                <w:color w:val="000000"/>
                <w:sz w:val="18"/>
                <w:szCs w:val="18"/>
                <w:lang w:eastAsia="cs-CZ"/>
              </w:rPr>
              <w:t xml:space="preserve"> než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ostatních krajích hlásí do nástavbového studia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denní formě vzdělávání. Velmi vysoká aspirace žáků na maturitní i</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vysokoškolské vzdělání. Výborné výsledky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mezinárodních šetřeních i</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národním testování testech. Nízk</w:t>
            </w:r>
            <w:r w:rsidR="00E75E66">
              <w:rPr>
                <w:rFonts w:eastAsia="Times New Roman" w:cs="Calibri"/>
                <w:color w:val="000000"/>
                <w:sz w:val="18"/>
                <w:szCs w:val="18"/>
                <w:lang w:eastAsia="cs-CZ"/>
              </w:rPr>
              <w:t xml:space="preserve">á míra opakování ročníku </w:t>
            </w:r>
            <w:r w:rsidRPr="00D8026D">
              <w:rPr>
                <w:rFonts w:eastAsia="Times New Roman" w:cs="Calibri"/>
                <w:color w:val="000000"/>
                <w:sz w:val="18"/>
                <w:szCs w:val="18"/>
                <w:lang w:eastAsia="cs-CZ"/>
              </w:rPr>
              <w:t>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předčasných odchodů ze škol. Nejvyšší míra docházky dětí z 1. stupně do školní družiny</w:t>
            </w:r>
          </w:p>
        </w:tc>
        <w:tc>
          <w:tcPr>
            <w:tcW w:w="3827" w:type="dxa"/>
            <w:tcBorders>
              <w:top w:val="single" w:sz="4" w:space="0" w:color="4EA72E"/>
              <w:left w:val="nil"/>
              <w:bottom w:val="nil"/>
              <w:right w:val="nil"/>
            </w:tcBorders>
            <w:hideMark/>
          </w:tcPr>
          <w:p w14:paraId="59D30519" w14:textId="2EF8EED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Nízké mzdy pedagogických i nepedagogických pracovníků vzhledem k průměrné mzdě v regionu. Nízké zastoupení asistentů pedagoga v ZŠ a SŠ, Relativně vysoký podíl nekvalifikovaných učitelů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mateřských školách. Nízký počet počítačů na žáka v základních a středních školách. Nejvyšší míra odchodů na víceletá gymnázia 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konzervatoře. Docházka do MŠ je nízká u</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dvouletých a pětiletých dětí. Vysoký podíl absolventů ZŠ, kteří v daném roce nepokračují na SŠ nebo konzervatoř.</w:t>
            </w:r>
          </w:p>
        </w:tc>
        <w:tc>
          <w:tcPr>
            <w:tcW w:w="3848" w:type="dxa"/>
            <w:tcBorders>
              <w:top w:val="single" w:sz="4" w:space="0" w:color="4EA72E"/>
              <w:left w:val="nil"/>
              <w:bottom w:val="nil"/>
              <w:right w:val="single" w:sz="4" w:space="0" w:color="4EA72E"/>
            </w:tcBorders>
            <w:hideMark/>
          </w:tcPr>
          <w:p w14:paraId="0F7764E7"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počet žáků připadajících na jednoho učitele. Vyšší zastoupení neveřejných škol. Nízký podíle žáků v malých nebo malotřídních školách. Nejvyšší míra zastoupení dětí a žáků-cizinců ve vzdělávání. Nízká míra zastoupení dětí a žáků se zdravotním znevýhodněním v běžných třídách</w:t>
            </w:r>
          </w:p>
        </w:tc>
      </w:tr>
      <w:tr w:rsidR="00D8026D" w:rsidRPr="00D8026D" w14:paraId="7F1FF26F" w14:textId="77777777" w:rsidTr="009A58B0">
        <w:trPr>
          <w:trHeight w:val="1135"/>
        </w:trPr>
        <w:tc>
          <w:tcPr>
            <w:tcW w:w="1507" w:type="dxa"/>
            <w:tcBorders>
              <w:top w:val="single" w:sz="4" w:space="0" w:color="4EA72E"/>
              <w:left w:val="single" w:sz="4" w:space="0" w:color="4EA72E"/>
              <w:bottom w:val="nil"/>
              <w:right w:val="nil"/>
            </w:tcBorders>
            <w:hideMark/>
          </w:tcPr>
          <w:p w14:paraId="6A703C7E"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Středočeský kraj</w:t>
            </w:r>
          </w:p>
        </w:tc>
        <w:tc>
          <w:tcPr>
            <w:tcW w:w="1327" w:type="dxa"/>
            <w:tcBorders>
              <w:top w:val="single" w:sz="4" w:space="0" w:color="4EA72E"/>
              <w:left w:val="nil"/>
              <w:bottom w:val="nil"/>
              <w:right w:val="nil"/>
            </w:tcBorders>
            <w:hideMark/>
          </w:tcPr>
          <w:p w14:paraId="6ECDAFC6" w14:textId="1AEB1D2A"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63DD1E63"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podíl žáků, kteří aspirují na maturitní vzdělání. V posledním šetření TIMSS měl kraj vysoký podíl žáků 4. tříd ZŠ s excelentními výsledky v testech matematických dovedností.</w:t>
            </w:r>
          </w:p>
        </w:tc>
        <w:tc>
          <w:tcPr>
            <w:tcW w:w="3827" w:type="dxa"/>
            <w:tcBorders>
              <w:top w:val="single" w:sz="4" w:space="0" w:color="4EA72E"/>
              <w:left w:val="nil"/>
              <w:bottom w:val="nil"/>
              <w:right w:val="nil"/>
            </w:tcBorders>
            <w:hideMark/>
          </w:tcPr>
          <w:p w14:paraId="34E3A5B1" w14:textId="7FB53CCE"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Platy pedagogických a nepedagogických pracovníků jsou nízké v relaci k průměrné mzdě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kraji. Vysoké podíly nekvalifikovaných učitelů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MŠ, ZŠ i SŠ, nízká je také aprobovanost výuky. Nízký počet počítačů na žáka v základních školách.</w:t>
            </w:r>
          </w:p>
        </w:tc>
        <w:tc>
          <w:tcPr>
            <w:tcW w:w="3848" w:type="dxa"/>
            <w:tcBorders>
              <w:top w:val="single" w:sz="4" w:space="0" w:color="4EA72E"/>
              <w:left w:val="nil"/>
              <w:bottom w:val="nil"/>
              <w:right w:val="single" w:sz="4" w:space="0" w:color="4EA72E"/>
            </w:tcBorders>
            <w:hideMark/>
          </w:tcPr>
          <w:p w14:paraId="1C583618" w14:textId="6EC59B06"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Vysoké počty dětí a žáků na učitele. Na úrovni mateřských škol je vysoký podíl dětí vzdělávaných v neveřejných školách. Nízký je podíl žáků středních škol v negymnaziálních oborech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maturitní zkouškou.</w:t>
            </w:r>
          </w:p>
        </w:tc>
      </w:tr>
      <w:tr w:rsidR="00D8026D" w:rsidRPr="00D8026D" w14:paraId="6B1E181E" w14:textId="77777777" w:rsidTr="009A58B0">
        <w:trPr>
          <w:trHeight w:val="1394"/>
        </w:trPr>
        <w:tc>
          <w:tcPr>
            <w:tcW w:w="1507" w:type="dxa"/>
            <w:tcBorders>
              <w:top w:val="single" w:sz="4" w:space="0" w:color="4EA72E"/>
              <w:left w:val="single" w:sz="4" w:space="0" w:color="4EA72E"/>
              <w:bottom w:val="nil"/>
              <w:right w:val="nil"/>
            </w:tcBorders>
            <w:hideMark/>
          </w:tcPr>
          <w:p w14:paraId="07A4839D"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Jihočeský kraj</w:t>
            </w:r>
          </w:p>
        </w:tc>
        <w:tc>
          <w:tcPr>
            <w:tcW w:w="1327" w:type="dxa"/>
            <w:tcBorders>
              <w:top w:val="single" w:sz="4" w:space="0" w:color="4EA72E"/>
              <w:left w:val="nil"/>
              <w:bottom w:val="nil"/>
              <w:right w:val="nil"/>
            </w:tcBorders>
            <w:hideMark/>
          </w:tcPr>
          <w:p w14:paraId="4D59D81B" w14:textId="51B3F5B8"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0AC454E2" w14:textId="6B559548"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Vysoká míra kvalifikovanosti učitelů a aprobované výuky. Vysoký podíl 2letých a 5letých dětí, které navštěvují MŠ. Nízká míra opakování ročníku na 1.</w:t>
            </w:r>
            <w:r w:rsidR="003151A7">
              <w:rPr>
                <w:rFonts w:eastAsia="Times New Roman" w:cs="Calibri"/>
                <w:color w:val="000000"/>
                <w:sz w:val="18"/>
                <w:szCs w:val="18"/>
                <w:lang w:eastAsia="cs-CZ"/>
              </w:rPr>
              <w:t> </w:t>
            </w:r>
            <w:r w:rsidRPr="00D8026D">
              <w:rPr>
                <w:rFonts w:eastAsia="Times New Roman" w:cs="Calibri"/>
                <w:color w:val="000000"/>
                <w:sz w:val="18"/>
                <w:szCs w:val="18"/>
                <w:lang w:eastAsia="cs-CZ"/>
              </w:rPr>
              <w:t>stupni ZŠ. V šetření TIMSS vysoký podíl žáků 4.</w:t>
            </w:r>
            <w:r w:rsidR="00025D10">
              <w:rPr>
                <w:rFonts w:eastAsia="Times New Roman" w:cs="Calibri"/>
                <w:color w:val="000000"/>
                <w:sz w:val="18"/>
                <w:szCs w:val="18"/>
                <w:lang w:eastAsia="cs-CZ"/>
              </w:rPr>
              <w:t> </w:t>
            </w:r>
            <w:r w:rsidRPr="00D8026D">
              <w:rPr>
                <w:rFonts w:eastAsia="Times New Roman" w:cs="Calibri"/>
                <w:color w:val="000000"/>
                <w:sz w:val="18"/>
                <w:szCs w:val="18"/>
                <w:lang w:eastAsia="cs-CZ"/>
              </w:rPr>
              <w:t>tříd ZŠ dosáhl na excelentními výsledky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testech přírodovědných dovedností.</w:t>
            </w:r>
          </w:p>
        </w:tc>
        <w:tc>
          <w:tcPr>
            <w:tcW w:w="3827" w:type="dxa"/>
            <w:tcBorders>
              <w:top w:val="single" w:sz="4" w:space="0" w:color="4EA72E"/>
              <w:left w:val="nil"/>
              <w:bottom w:val="nil"/>
              <w:right w:val="nil"/>
            </w:tcBorders>
            <w:hideMark/>
          </w:tcPr>
          <w:p w14:paraId="28F92A1C" w14:textId="45A94600"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 xml:space="preserve">Slabší výsledky v čtenářské gramotnosti podle mezinárodních testů PIRLS. Nízký pocit sounáležitosti </w:t>
            </w:r>
            <w:r w:rsidR="007B16CB">
              <w:rPr>
                <w:rFonts w:eastAsia="Times New Roman" w:cs="Calibri"/>
                <w:color w:val="000000"/>
                <w:sz w:val="18"/>
                <w:szCs w:val="18"/>
                <w:lang w:eastAsia="cs-CZ"/>
              </w:rPr>
              <w:t xml:space="preserve">se školou u </w:t>
            </w:r>
            <w:r w:rsidRPr="00D8026D">
              <w:rPr>
                <w:rFonts w:eastAsia="Times New Roman" w:cs="Calibri"/>
                <w:color w:val="000000"/>
                <w:sz w:val="18"/>
                <w:szCs w:val="18"/>
                <w:lang w:eastAsia="cs-CZ"/>
              </w:rPr>
              <w:t>žáků 8. ročníku. Průměrný výsledek žáků 4. ročníku v testech čtenářské gramotnosti PIRLS byl slabý a podíl žáků s nedostatečnými výsledky vysoký.</w:t>
            </w:r>
          </w:p>
        </w:tc>
        <w:tc>
          <w:tcPr>
            <w:tcW w:w="3848" w:type="dxa"/>
            <w:tcBorders>
              <w:top w:val="single" w:sz="4" w:space="0" w:color="4EA72E"/>
              <w:left w:val="nil"/>
              <w:bottom w:val="nil"/>
              <w:right w:val="single" w:sz="4" w:space="0" w:color="4EA72E"/>
            </w:tcBorders>
            <w:hideMark/>
          </w:tcPr>
          <w:p w14:paraId="79D13D00" w14:textId="025ECCB3"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Nejnižší počet úvazků asistenta pedagoga na 10</w:t>
            </w:r>
            <w:r w:rsidR="000D1DB5">
              <w:rPr>
                <w:rFonts w:eastAsia="Times New Roman" w:cs="Calibri"/>
                <w:color w:val="000000"/>
                <w:sz w:val="18"/>
                <w:szCs w:val="18"/>
                <w:lang w:eastAsia="cs-CZ"/>
              </w:rPr>
              <w:t> </w:t>
            </w:r>
            <w:r w:rsidRPr="00D8026D">
              <w:rPr>
                <w:rFonts w:eastAsia="Times New Roman" w:cs="Calibri"/>
                <w:color w:val="000000"/>
                <w:sz w:val="18"/>
                <w:szCs w:val="18"/>
                <w:lang w:eastAsia="cs-CZ"/>
              </w:rPr>
              <w:t>tis. dětí v MŠ. Podíl žáků vzdělávaných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neveřejných školách je na úrovni ZŠ vysoký, na úrovni SŠ oproti tomu nízký.</w:t>
            </w:r>
          </w:p>
        </w:tc>
      </w:tr>
      <w:tr w:rsidR="00D8026D" w:rsidRPr="00D8026D" w14:paraId="2F1B9596" w14:textId="77777777" w:rsidTr="009A58B0">
        <w:trPr>
          <w:trHeight w:val="1555"/>
        </w:trPr>
        <w:tc>
          <w:tcPr>
            <w:tcW w:w="1507" w:type="dxa"/>
            <w:tcBorders>
              <w:top w:val="single" w:sz="4" w:space="0" w:color="4EA72E"/>
              <w:left w:val="single" w:sz="4" w:space="0" w:color="4EA72E"/>
              <w:bottom w:val="nil"/>
              <w:right w:val="nil"/>
            </w:tcBorders>
            <w:hideMark/>
          </w:tcPr>
          <w:p w14:paraId="7C901F1F"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Plzeňský kraj</w:t>
            </w:r>
          </w:p>
        </w:tc>
        <w:tc>
          <w:tcPr>
            <w:tcW w:w="1327" w:type="dxa"/>
            <w:tcBorders>
              <w:top w:val="single" w:sz="4" w:space="0" w:color="4EA72E"/>
              <w:left w:val="nil"/>
              <w:bottom w:val="nil"/>
              <w:right w:val="nil"/>
            </w:tcBorders>
            <w:hideMark/>
          </w:tcPr>
          <w:p w14:paraId="4006DB94" w14:textId="6DB17350"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62228538" w14:textId="6551F3CC"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 xml:space="preserve">Vysoké mzdy speciálních pedagogů vzhledem k průměrné mzdě v kraji. Nízký podíl </w:t>
            </w:r>
            <w:r w:rsidR="00A275A3">
              <w:rPr>
                <w:rFonts w:eastAsia="Times New Roman" w:cs="Calibri"/>
                <w:color w:val="000000"/>
                <w:sz w:val="18"/>
                <w:szCs w:val="18"/>
                <w:lang w:eastAsia="cs-CZ"/>
              </w:rPr>
              <w:t xml:space="preserve">žáků </w:t>
            </w:r>
            <w:r w:rsidRPr="00D8026D">
              <w:rPr>
                <w:rFonts w:eastAsia="Times New Roman" w:cs="Calibri"/>
                <w:color w:val="000000"/>
                <w:sz w:val="18"/>
                <w:szCs w:val="18"/>
                <w:lang w:eastAsia="cs-CZ"/>
              </w:rPr>
              <w:t>opakujících ročník na středních školách. Vysoký podíl čerstvých absolventů SŠ oborů s výučním listem pokračuje dále do nástavbového studia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 xml:space="preserve">denní formě. </w:t>
            </w:r>
          </w:p>
        </w:tc>
        <w:tc>
          <w:tcPr>
            <w:tcW w:w="3827" w:type="dxa"/>
            <w:tcBorders>
              <w:top w:val="single" w:sz="4" w:space="0" w:color="4EA72E"/>
              <w:left w:val="nil"/>
              <w:bottom w:val="nil"/>
              <w:right w:val="nil"/>
            </w:tcBorders>
            <w:hideMark/>
          </w:tcPr>
          <w:p w14:paraId="615DA7FB"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počet školních psychologů v kraji. Nízké zastoupení gymnazistů mezi středoškoláky a nižší podíl dětí plnících povinný předškolní ročník.</w:t>
            </w:r>
          </w:p>
        </w:tc>
        <w:tc>
          <w:tcPr>
            <w:tcW w:w="3848" w:type="dxa"/>
            <w:tcBorders>
              <w:top w:val="single" w:sz="4" w:space="0" w:color="4EA72E"/>
              <w:left w:val="nil"/>
              <w:bottom w:val="nil"/>
              <w:right w:val="single" w:sz="4" w:space="0" w:color="4EA72E"/>
            </w:tcBorders>
            <w:hideMark/>
          </w:tcPr>
          <w:p w14:paraId="610244F0" w14:textId="2B6C44FE"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podíl dětí a žáků, které se vzdělávají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neveřejných školách. Nízký podíl žáků s přiznaným podpůrným opatřením s kódem NFN v ZŠ.</w:t>
            </w:r>
          </w:p>
        </w:tc>
      </w:tr>
      <w:tr w:rsidR="00D8026D" w:rsidRPr="00D8026D" w14:paraId="13259811" w14:textId="77777777" w:rsidTr="009A58B0">
        <w:trPr>
          <w:trHeight w:val="2973"/>
        </w:trPr>
        <w:tc>
          <w:tcPr>
            <w:tcW w:w="1507" w:type="dxa"/>
            <w:tcBorders>
              <w:top w:val="single" w:sz="4" w:space="0" w:color="4EA72E"/>
              <w:left w:val="single" w:sz="4" w:space="0" w:color="4EA72E"/>
              <w:bottom w:val="nil"/>
              <w:right w:val="nil"/>
            </w:tcBorders>
            <w:hideMark/>
          </w:tcPr>
          <w:p w14:paraId="504672A2"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lastRenderedPageBreak/>
              <w:t>Karlovarský kraj</w:t>
            </w:r>
          </w:p>
        </w:tc>
        <w:tc>
          <w:tcPr>
            <w:tcW w:w="1327" w:type="dxa"/>
            <w:tcBorders>
              <w:top w:val="single" w:sz="4" w:space="0" w:color="4EA72E"/>
              <w:left w:val="nil"/>
              <w:bottom w:val="nil"/>
              <w:right w:val="nil"/>
            </w:tcBorders>
            <w:hideMark/>
          </w:tcPr>
          <w:p w14:paraId="39A89435"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Výrazná</w:t>
            </w:r>
          </w:p>
        </w:tc>
        <w:tc>
          <w:tcPr>
            <w:tcW w:w="4107" w:type="dxa"/>
            <w:tcBorders>
              <w:top w:val="single" w:sz="4" w:space="0" w:color="4EA72E"/>
              <w:left w:val="nil"/>
              <w:bottom w:val="nil"/>
              <w:right w:val="nil"/>
            </w:tcBorders>
            <w:hideMark/>
          </w:tcPr>
          <w:p w14:paraId="134A898D"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 xml:space="preserve">Relativně vysoké platy pedagogických i nepedagogických pracovníků vzhledem k průměrné mzdě v kraji. Vysoký počet počítačů na žáka v základních školách. </w:t>
            </w:r>
          </w:p>
        </w:tc>
        <w:tc>
          <w:tcPr>
            <w:tcW w:w="3827" w:type="dxa"/>
            <w:tcBorders>
              <w:top w:val="single" w:sz="4" w:space="0" w:color="4EA72E"/>
              <w:left w:val="nil"/>
              <w:bottom w:val="nil"/>
              <w:right w:val="nil"/>
            </w:tcBorders>
            <w:hideMark/>
          </w:tcPr>
          <w:p w14:paraId="2D8BA6F6"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Velmi vysoký podíl nekvalifikovaných učitelů, především na úrovni základních škol. Nízká aprobovanost výuky. Slabé výsledky v testování. Úspěšnost žáků u maturitní zkoušky je nízká. Vysoký je podíl žáků odcházejících ze základní školy bez dosaženého stupně vzdělání a také podíl žáků odcházejících ze středních škol v průběhu studia. Nízký podíl absolventů SŠ oborů s výučním listem, kteří dále pokračují ve studiu. Vzdělanostní aspirace jsou nízké jak ve vztahu k maturitním oborům, tak k vysokoškolskému studiu. Nízký podíl dětí dochází do MŠ a nízký podíl žáků 1. stupně dochází do školní družiny.</w:t>
            </w:r>
          </w:p>
        </w:tc>
        <w:tc>
          <w:tcPr>
            <w:tcW w:w="3848" w:type="dxa"/>
            <w:tcBorders>
              <w:top w:val="single" w:sz="4" w:space="0" w:color="4EA72E"/>
              <w:left w:val="nil"/>
              <w:bottom w:val="nil"/>
              <w:right w:val="single" w:sz="4" w:space="0" w:color="4EA72E"/>
            </w:tcBorders>
            <w:hideMark/>
          </w:tcPr>
          <w:p w14:paraId="619102CF" w14:textId="56D24256"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počet žáků na učitele. Podíl dětí a žáků, kteří se vzdělávají v neveřejných školách, je nízký. V</w:t>
            </w:r>
            <w:r w:rsidR="00375DA4">
              <w:rPr>
                <w:rFonts w:eastAsia="Times New Roman" w:cs="Calibri"/>
                <w:color w:val="000000"/>
                <w:sz w:val="18"/>
                <w:szCs w:val="18"/>
                <w:lang w:eastAsia="cs-CZ"/>
              </w:rPr>
              <w:t> </w:t>
            </w:r>
            <w:r w:rsidRPr="00D8026D">
              <w:rPr>
                <w:rFonts w:eastAsia="Times New Roman" w:cs="Calibri"/>
                <w:color w:val="000000"/>
                <w:sz w:val="18"/>
                <w:szCs w:val="18"/>
                <w:lang w:eastAsia="cs-CZ"/>
              </w:rPr>
              <w:t>běžných třídách na všech stupních vzdělávání se vzdělává vysoký podíl dětí a žáků se zdravotním znevýhodněním. V MŠ je vysoký podíl dětí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přiznaným podpůrným opatřením s kódem NFN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MŠ a v ZŠ je vysoký podíl žáků ve speciálních třídách. Na všech stupních vzdělávání je vysoký podíl dětí a žáků-cizinců.</w:t>
            </w:r>
          </w:p>
        </w:tc>
      </w:tr>
      <w:tr w:rsidR="00D8026D" w:rsidRPr="00D8026D" w14:paraId="50FB5837" w14:textId="77777777" w:rsidTr="009A58B0">
        <w:trPr>
          <w:trHeight w:val="4930"/>
        </w:trPr>
        <w:tc>
          <w:tcPr>
            <w:tcW w:w="1507" w:type="dxa"/>
            <w:tcBorders>
              <w:top w:val="single" w:sz="4" w:space="0" w:color="4EA72E"/>
              <w:left w:val="single" w:sz="4" w:space="0" w:color="4EA72E"/>
              <w:bottom w:val="nil"/>
              <w:right w:val="nil"/>
            </w:tcBorders>
            <w:hideMark/>
          </w:tcPr>
          <w:p w14:paraId="244787FD"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Ústecký kraj</w:t>
            </w:r>
          </w:p>
        </w:tc>
        <w:tc>
          <w:tcPr>
            <w:tcW w:w="1327" w:type="dxa"/>
            <w:tcBorders>
              <w:top w:val="single" w:sz="4" w:space="0" w:color="4EA72E"/>
              <w:left w:val="nil"/>
              <w:bottom w:val="nil"/>
              <w:right w:val="nil"/>
            </w:tcBorders>
            <w:hideMark/>
          </w:tcPr>
          <w:p w14:paraId="6738B725"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Výrazná</w:t>
            </w:r>
          </w:p>
        </w:tc>
        <w:tc>
          <w:tcPr>
            <w:tcW w:w="4107" w:type="dxa"/>
            <w:tcBorders>
              <w:top w:val="single" w:sz="4" w:space="0" w:color="4EA72E"/>
              <w:left w:val="nil"/>
              <w:bottom w:val="nil"/>
              <w:right w:val="nil"/>
            </w:tcBorders>
            <w:hideMark/>
          </w:tcPr>
          <w:p w14:paraId="05D6F62A"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Ústecký kraj má vysoké počty úvazků asistenta pedagoga v přepočtu na počet žáků v základních a středních školách. Vyšší dostupnost počítačů na žáka. Míra odchodů na víceletá gymnázia a konzervatoře je nízká.</w:t>
            </w:r>
          </w:p>
        </w:tc>
        <w:tc>
          <w:tcPr>
            <w:tcW w:w="3827" w:type="dxa"/>
            <w:tcBorders>
              <w:top w:val="single" w:sz="4" w:space="0" w:color="4EA72E"/>
              <w:left w:val="nil"/>
              <w:bottom w:val="nil"/>
              <w:right w:val="nil"/>
            </w:tcBorders>
            <w:hideMark/>
          </w:tcPr>
          <w:p w14:paraId="22AE5611"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Nízká účast dětí v předškolním vzdělávání. Je zde vysoký podíl žáků, kteří nastupují do ZŠ s odkladem povinné školní docházky. Nízký je podíl žáků, kteří docházejí do školní družiny. Vysoký je podíl žáků odcházejících ze základní školy bez dokončeného stupně vzdělání i počet absolventů ZŠ, kteří nepokračují dále ve studiu na SŠ. Podíl žáků, kteří odcházejí ze středních škol během studia je vysoký. Nízká aspirace na maturitní či vysokoškolské studium. Mezi absolventy středních škol je vysoký podíl absolventů oborů s výučním listem. Slabé výsledky testů, vysoký podíl žáků opakujících ročník, vysoký index šikany a nízký pocit sounáležitosti se školou.</w:t>
            </w:r>
          </w:p>
        </w:tc>
        <w:tc>
          <w:tcPr>
            <w:tcW w:w="3848" w:type="dxa"/>
            <w:tcBorders>
              <w:top w:val="single" w:sz="4" w:space="0" w:color="4EA72E"/>
              <w:left w:val="nil"/>
              <w:bottom w:val="nil"/>
              <w:right w:val="single" w:sz="4" w:space="0" w:color="4EA72E"/>
            </w:tcBorders>
            <w:hideMark/>
          </w:tcPr>
          <w:p w14:paraId="1528957B"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 mateřských školách je nízký počet dětí na učitele. V kraji je nízký podíl malých a malotřídních základních škol. Vysoký je podíl žáků s lehkým mentálním postižením v ZŠ, v MŠ je vysoký podíl dětí se zdravotním znevýhodněním. V základním vzdělávání je vysoký podíl žáků ve speciálních třídách. V MŠ a SŠ je vysoký podíl žáků s přiznaným podpůrným opatřením s kódem NFN.</w:t>
            </w:r>
          </w:p>
        </w:tc>
      </w:tr>
      <w:tr w:rsidR="00D8026D" w:rsidRPr="00D8026D" w14:paraId="6501D2BA" w14:textId="77777777" w:rsidTr="009A58B0">
        <w:trPr>
          <w:trHeight w:val="1413"/>
        </w:trPr>
        <w:tc>
          <w:tcPr>
            <w:tcW w:w="1507" w:type="dxa"/>
            <w:tcBorders>
              <w:top w:val="single" w:sz="4" w:space="0" w:color="4EA72E"/>
              <w:left w:val="single" w:sz="4" w:space="0" w:color="4EA72E"/>
              <w:bottom w:val="nil"/>
              <w:right w:val="nil"/>
            </w:tcBorders>
            <w:hideMark/>
          </w:tcPr>
          <w:p w14:paraId="5574093A"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lastRenderedPageBreak/>
              <w:t>Liberecký kraj</w:t>
            </w:r>
          </w:p>
        </w:tc>
        <w:tc>
          <w:tcPr>
            <w:tcW w:w="1327" w:type="dxa"/>
            <w:tcBorders>
              <w:top w:val="single" w:sz="4" w:space="0" w:color="4EA72E"/>
              <w:left w:val="nil"/>
              <w:bottom w:val="nil"/>
              <w:right w:val="nil"/>
            </w:tcBorders>
            <w:hideMark/>
          </w:tcPr>
          <w:p w14:paraId="5F92C857" w14:textId="0A5EEFAE"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1D1C9C61"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Vyšší platy školních psychologů k průměrné mzdě. Nízký podíl odchodů na víceletá gymnázia nízký podíl žáků opakujících ročník. Nízká je míra opakování ročníků v nematuritních oborech SŠ a také v oborech nástavbového studia.  Silný pocit sounáležitosti se školou.</w:t>
            </w:r>
          </w:p>
        </w:tc>
        <w:tc>
          <w:tcPr>
            <w:tcW w:w="3827" w:type="dxa"/>
            <w:tcBorders>
              <w:top w:val="single" w:sz="4" w:space="0" w:color="4EA72E"/>
              <w:left w:val="nil"/>
              <w:bottom w:val="nil"/>
              <w:right w:val="nil"/>
            </w:tcBorders>
            <w:hideMark/>
          </w:tcPr>
          <w:p w14:paraId="6DA808DB"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Nižší počet školních psychologů vzhledem k počtu žáků. Omezená kapacita školních družin. Nízké aspirace žáků na vysokoškolské vzdělání.</w:t>
            </w:r>
          </w:p>
        </w:tc>
        <w:tc>
          <w:tcPr>
            <w:tcW w:w="3848" w:type="dxa"/>
            <w:tcBorders>
              <w:top w:val="single" w:sz="4" w:space="0" w:color="4EA72E"/>
              <w:left w:val="nil"/>
              <w:bottom w:val="nil"/>
              <w:right w:val="single" w:sz="4" w:space="0" w:color="4EA72E"/>
            </w:tcBorders>
            <w:hideMark/>
          </w:tcPr>
          <w:p w14:paraId="6268AEAB" w14:textId="1438F681"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počet dětí na učitele v mateřských školách. Nízký podíl žáků v neveřejných základních školách. Nízké jsou podíly dětí a žáků se zdravotním znevýhodněním v běžných třídách a také dětí 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žáků s přiznaným podpůrným opatřením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kódem NFN v MŠ a SŠ.</w:t>
            </w:r>
          </w:p>
        </w:tc>
      </w:tr>
      <w:tr w:rsidR="00D8026D" w:rsidRPr="00D8026D" w14:paraId="705F5EEF" w14:textId="77777777" w:rsidTr="009A58B0">
        <w:trPr>
          <w:trHeight w:val="1413"/>
        </w:trPr>
        <w:tc>
          <w:tcPr>
            <w:tcW w:w="1507" w:type="dxa"/>
            <w:tcBorders>
              <w:top w:val="single" w:sz="4" w:space="0" w:color="4EA72E"/>
              <w:left w:val="single" w:sz="4" w:space="0" w:color="4EA72E"/>
              <w:bottom w:val="nil"/>
              <w:right w:val="nil"/>
            </w:tcBorders>
            <w:hideMark/>
          </w:tcPr>
          <w:p w14:paraId="11FE0609"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Královéhradecký kraj</w:t>
            </w:r>
          </w:p>
        </w:tc>
        <w:tc>
          <w:tcPr>
            <w:tcW w:w="1327" w:type="dxa"/>
            <w:tcBorders>
              <w:top w:val="single" w:sz="4" w:space="0" w:color="4EA72E"/>
              <w:left w:val="nil"/>
              <w:bottom w:val="nil"/>
              <w:right w:val="nil"/>
            </w:tcBorders>
            <w:hideMark/>
          </w:tcPr>
          <w:p w14:paraId="593A404A" w14:textId="2AB1B883"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2AC1397D"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počet počítačů na žáka na středních školách.</w:t>
            </w:r>
          </w:p>
        </w:tc>
        <w:tc>
          <w:tcPr>
            <w:tcW w:w="3827" w:type="dxa"/>
            <w:tcBorders>
              <w:top w:val="single" w:sz="4" w:space="0" w:color="4EA72E"/>
              <w:left w:val="nil"/>
              <w:bottom w:val="nil"/>
              <w:right w:val="nil"/>
            </w:tcBorders>
            <w:hideMark/>
          </w:tcPr>
          <w:p w14:paraId="51C74BBF" w14:textId="40F64070"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je podíl absolventů oborů středních škol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výučním listem, kteří dále pokračují do nástavbového studia v denní formě vzdělávání.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nematuritních oborech SŠ je nízký podíl žáků opakujících ročník. Na středních školách je vysoký počet počítačů v přepočtu na žáka.</w:t>
            </w:r>
          </w:p>
        </w:tc>
        <w:tc>
          <w:tcPr>
            <w:tcW w:w="3848" w:type="dxa"/>
            <w:tcBorders>
              <w:top w:val="single" w:sz="4" w:space="0" w:color="4EA72E"/>
              <w:left w:val="nil"/>
              <w:bottom w:val="nil"/>
              <w:right w:val="single" w:sz="4" w:space="0" w:color="4EA72E"/>
            </w:tcBorders>
            <w:hideMark/>
          </w:tcPr>
          <w:p w14:paraId="65B1C855" w14:textId="461F9985"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Královéhradecký kraj má nízký podíl malých základních škol a nízký podíl žáků vzdělávaných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malotřídních školách. Vysoký je podíl žáků se zdravotním znevýhodněním vzdělávaných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běžných třídách ZŠ a podíl žáků s přiznaným podpůrným opatřením s kódem NFN v ZŠ.</w:t>
            </w:r>
          </w:p>
        </w:tc>
      </w:tr>
      <w:tr w:rsidR="00D8026D" w:rsidRPr="00D8026D" w14:paraId="57153E69" w14:textId="77777777" w:rsidTr="009A58B0">
        <w:trPr>
          <w:trHeight w:val="1688"/>
        </w:trPr>
        <w:tc>
          <w:tcPr>
            <w:tcW w:w="1507" w:type="dxa"/>
            <w:tcBorders>
              <w:top w:val="single" w:sz="4" w:space="0" w:color="4EA72E"/>
              <w:left w:val="single" w:sz="4" w:space="0" w:color="4EA72E"/>
              <w:bottom w:val="nil"/>
              <w:right w:val="nil"/>
            </w:tcBorders>
            <w:hideMark/>
          </w:tcPr>
          <w:p w14:paraId="15C9F2E9"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Pardubický kraj</w:t>
            </w:r>
          </w:p>
        </w:tc>
        <w:tc>
          <w:tcPr>
            <w:tcW w:w="1327" w:type="dxa"/>
            <w:tcBorders>
              <w:top w:val="single" w:sz="4" w:space="0" w:color="4EA72E"/>
              <w:left w:val="nil"/>
              <w:bottom w:val="nil"/>
              <w:right w:val="nil"/>
            </w:tcBorders>
            <w:hideMark/>
          </w:tcPr>
          <w:p w14:paraId="7F788053" w14:textId="2455842A"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4CDFEC62" w14:textId="314F5D1F"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Příznivý poměr platů učitelů MŠ a ZŠ a asistentů pedagoga k průměrné mzdě. Vysoký podíl dětí plnících povinné předškolní vzdělávání. Nízký podíl dětí, které nastupují do základního vzdělávání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odkladem povinné školní docházky. Nízký podíl absolventů ZŠ, kteří v daném roce nepokračují na SŠ nebo konzervatoř.</w:t>
            </w:r>
          </w:p>
        </w:tc>
        <w:tc>
          <w:tcPr>
            <w:tcW w:w="3827" w:type="dxa"/>
            <w:tcBorders>
              <w:top w:val="single" w:sz="4" w:space="0" w:color="4EA72E"/>
              <w:left w:val="nil"/>
              <w:bottom w:val="nil"/>
              <w:right w:val="nil"/>
            </w:tcBorders>
            <w:hideMark/>
          </w:tcPr>
          <w:p w14:paraId="457C4BBC"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počet speciálních pedagogů. Vysoký podíl základních škol má zcela zaplněnou kapacitu školní družiny. Vysoký je podíl žáků opakujících ročník v nástavbovém studiu SŠ.</w:t>
            </w:r>
          </w:p>
        </w:tc>
        <w:tc>
          <w:tcPr>
            <w:tcW w:w="3848" w:type="dxa"/>
            <w:tcBorders>
              <w:top w:val="single" w:sz="4" w:space="0" w:color="4EA72E"/>
              <w:left w:val="nil"/>
              <w:bottom w:val="nil"/>
              <w:right w:val="single" w:sz="4" w:space="0" w:color="4EA72E"/>
            </w:tcBorders>
            <w:hideMark/>
          </w:tcPr>
          <w:p w14:paraId="4C7246DC"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podíl dětí, které se vzdělávají v neveřejných MŠ. Podíl dětí ve speciálních třídách MŠ je nízký.</w:t>
            </w:r>
          </w:p>
        </w:tc>
      </w:tr>
      <w:tr w:rsidR="00D8026D" w:rsidRPr="00D8026D" w14:paraId="4D8E2F82" w14:textId="77777777" w:rsidTr="009A58B0">
        <w:trPr>
          <w:trHeight w:val="1840"/>
        </w:trPr>
        <w:tc>
          <w:tcPr>
            <w:tcW w:w="1507" w:type="dxa"/>
            <w:tcBorders>
              <w:top w:val="single" w:sz="4" w:space="0" w:color="4EA72E"/>
              <w:left w:val="single" w:sz="4" w:space="0" w:color="4EA72E"/>
              <w:bottom w:val="nil"/>
              <w:right w:val="nil"/>
            </w:tcBorders>
            <w:hideMark/>
          </w:tcPr>
          <w:p w14:paraId="65082FD6"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Kraj Vysočina</w:t>
            </w:r>
          </w:p>
        </w:tc>
        <w:tc>
          <w:tcPr>
            <w:tcW w:w="1327" w:type="dxa"/>
            <w:tcBorders>
              <w:top w:val="single" w:sz="4" w:space="0" w:color="4EA72E"/>
              <w:left w:val="nil"/>
              <w:bottom w:val="nil"/>
              <w:right w:val="nil"/>
            </w:tcBorders>
            <w:hideMark/>
          </w:tcPr>
          <w:p w14:paraId="062021F4"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Částečná</w:t>
            </w:r>
          </w:p>
        </w:tc>
        <w:tc>
          <w:tcPr>
            <w:tcW w:w="4107" w:type="dxa"/>
            <w:tcBorders>
              <w:top w:val="single" w:sz="4" w:space="0" w:color="4EA72E"/>
              <w:left w:val="nil"/>
              <w:bottom w:val="nil"/>
              <w:right w:val="nil"/>
            </w:tcBorders>
            <w:hideMark/>
          </w:tcPr>
          <w:p w14:paraId="19C32EC3" w14:textId="721615B0"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Vysoká účast dětí v předškolním vzdělávání, Nízký je podíl žáků, kteří odcházejí ze základní školy bez dosaženého stupně vzdělání, a žáků, kteří dále nepokračují do středního vzdělávání. Daří se dosahovat dobrých výsledků žáků v matematické 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přírodovědné gramotnosti.</w:t>
            </w:r>
          </w:p>
        </w:tc>
        <w:tc>
          <w:tcPr>
            <w:tcW w:w="3827" w:type="dxa"/>
            <w:tcBorders>
              <w:top w:val="single" w:sz="4" w:space="0" w:color="4EA72E"/>
              <w:left w:val="nil"/>
              <w:bottom w:val="nil"/>
              <w:right w:val="nil"/>
            </w:tcBorders>
            <w:hideMark/>
          </w:tcPr>
          <w:p w14:paraId="6FE5AD41"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počet asistentů pedagoga v MŠ a ZŠ a počet úvazků školních speciálních pedagogů v přepočtu na děti a žáky. Vysoká účast na předškolním vzdělávání a nízký podíl dětí s odkladem povinné školní docházky. Vysoký podíl žáků opakuje ročník na 2. stupni ZŠ.</w:t>
            </w:r>
          </w:p>
        </w:tc>
        <w:tc>
          <w:tcPr>
            <w:tcW w:w="3848" w:type="dxa"/>
            <w:tcBorders>
              <w:top w:val="single" w:sz="4" w:space="0" w:color="4EA72E"/>
              <w:left w:val="nil"/>
              <w:bottom w:val="nil"/>
              <w:right w:val="single" w:sz="4" w:space="0" w:color="4EA72E"/>
            </w:tcBorders>
            <w:hideMark/>
          </w:tcPr>
          <w:p w14:paraId="59347C37" w14:textId="0BD3822B"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podíl dětí a žáků vzdělávaných v malých a</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malotřídních ZŠ. Podíl dětí a žáků vzdělávajících se v neveřejných MŠ a ZŠ je nízký. Nízké počty dětí a žáků s přiznaným podpůrným opatřením s</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kódem NFN, nízký podíl žáků se zdravotním znevýhodněním vzdělávajících se v běžných třídách ZŠ a nízký podíl žáků vzdělávaných ve speciálních třídách ZŠ.</w:t>
            </w:r>
          </w:p>
        </w:tc>
      </w:tr>
      <w:tr w:rsidR="00D8026D" w:rsidRPr="00D8026D" w14:paraId="308E3FDA" w14:textId="77777777" w:rsidTr="009A58B0">
        <w:trPr>
          <w:trHeight w:val="1554"/>
        </w:trPr>
        <w:tc>
          <w:tcPr>
            <w:tcW w:w="1507" w:type="dxa"/>
            <w:tcBorders>
              <w:top w:val="single" w:sz="4" w:space="0" w:color="4EA72E"/>
              <w:left w:val="single" w:sz="4" w:space="0" w:color="4EA72E"/>
              <w:bottom w:val="nil"/>
              <w:right w:val="nil"/>
            </w:tcBorders>
            <w:hideMark/>
          </w:tcPr>
          <w:p w14:paraId="62C16CC9"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Jihomoravský kraj</w:t>
            </w:r>
          </w:p>
        </w:tc>
        <w:tc>
          <w:tcPr>
            <w:tcW w:w="1327" w:type="dxa"/>
            <w:tcBorders>
              <w:top w:val="single" w:sz="4" w:space="0" w:color="4EA72E"/>
              <w:left w:val="nil"/>
              <w:bottom w:val="nil"/>
              <w:right w:val="nil"/>
            </w:tcBorders>
            <w:hideMark/>
          </w:tcPr>
          <w:p w14:paraId="31773DB4" w14:textId="7C8F1777"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4686DE55"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Nejvyšší počet speciálních pedagogů a školních psychologů v přepočtu na děti a žáky. Vysoký podíl absolventů SŠ s maturitní zkouškou v gymnaziálních oborech Vysoký podíl úspěšných maturantů. Daří se dosahovat dobrých výsledků žáků v národním testování i v mezinárodních šetřeních.</w:t>
            </w:r>
          </w:p>
        </w:tc>
        <w:tc>
          <w:tcPr>
            <w:tcW w:w="3827" w:type="dxa"/>
            <w:tcBorders>
              <w:top w:val="single" w:sz="4" w:space="0" w:color="4EA72E"/>
              <w:left w:val="nil"/>
              <w:bottom w:val="nil"/>
              <w:right w:val="nil"/>
            </w:tcBorders>
            <w:hideMark/>
          </w:tcPr>
          <w:p w14:paraId="3F0C48B5" w14:textId="4CAECC96"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Nízké platy speciálních pedagogů a psychologů k průměrné mzdě v kraji. Nízký podíl 2letých dětí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 xml:space="preserve">předškolním vzdělávání. </w:t>
            </w:r>
          </w:p>
        </w:tc>
        <w:tc>
          <w:tcPr>
            <w:tcW w:w="3848" w:type="dxa"/>
            <w:tcBorders>
              <w:top w:val="single" w:sz="4" w:space="0" w:color="4EA72E"/>
              <w:left w:val="nil"/>
              <w:bottom w:val="nil"/>
              <w:right w:val="single" w:sz="4" w:space="0" w:color="4EA72E"/>
            </w:tcBorders>
            <w:hideMark/>
          </w:tcPr>
          <w:p w14:paraId="554E1BD3" w14:textId="05DF9ECA"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podíl žáků s lehkým mentálním postižením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ZŠ. Vysoký podíl žáků s přiznaným podpůrným opatřením s kódem NFN v ZŠ i SŠ a vysoký podíl žáků se zdravotním znevýhodněním v SŠ</w:t>
            </w:r>
          </w:p>
        </w:tc>
      </w:tr>
      <w:tr w:rsidR="00D8026D" w:rsidRPr="00D8026D" w14:paraId="0602B3AC" w14:textId="77777777" w:rsidTr="009A58B0">
        <w:trPr>
          <w:trHeight w:val="1740"/>
        </w:trPr>
        <w:tc>
          <w:tcPr>
            <w:tcW w:w="1507" w:type="dxa"/>
            <w:tcBorders>
              <w:top w:val="single" w:sz="4" w:space="0" w:color="4EA72E"/>
              <w:left w:val="single" w:sz="4" w:space="0" w:color="4EA72E"/>
              <w:bottom w:val="nil"/>
              <w:right w:val="nil"/>
            </w:tcBorders>
            <w:hideMark/>
          </w:tcPr>
          <w:p w14:paraId="5C344BA3"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lastRenderedPageBreak/>
              <w:t>Olomoucký kraj</w:t>
            </w:r>
          </w:p>
        </w:tc>
        <w:tc>
          <w:tcPr>
            <w:tcW w:w="1327" w:type="dxa"/>
            <w:tcBorders>
              <w:top w:val="single" w:sz="4" w:space="0" w:color="4EA72E"/>
              <w:left w:val="nil"/>
              <w:bottom w:val="nil"/>
              <w:right w:val="nil"/>
            </w:tcBorders>
            <w:hideMark/>
          </w:tcPr>
          <w:p w14:paraId="5D4683F4" w14:textId="5DF1E125"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nil"/>
              <w:right w:val="nil"/>
            </w:tcBorders>
            <w:hideMark/>
          </w:tcPr>
          <w:p w14:paraId="75411C60" w14:textId="1140D1E2"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počet asistentů pedagoga, nízký podíl nekvalifikovaných učitelů na 2. stupni ZŠ, vysoký počet počítačů na žáka, vysoký podíl dětí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mateřských školách a školních družinách.</w:t>
            </w:r>
          </w:p>
        </w:tc>
        <w:tc>
          <w:tcPr>
            <w:tcW w:w="3827" w:type="dxa"/>
            <w:tcBorders>
              <w:top w:val="single" w:sz="4" w:space="0" w:color="4EA72E"/>
              <w:left w:val="nil"/>
              <w:bottom w:val="nil"/>
              <w:right w:val="nil"/>
            </w:tcBorders>
            <w:hideMark/>
          </w:tcPr>
          <w:p w14:paraId="5DEA8EED"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Relativně vysoký podíl žáků opakujících ročník a nízký pocit sounáležitosti se školou. Vysoký podíl odkladů povinné školní docházky. Vysoký podíl žáků opakujících ročník v nematuritních oborech SŠ.</w:t>
            </w:r>
          </w:p>
        </w:tc>
        <w:tc>
          <w:tcPr>
            <w:tcW w:w="3848" w:type="dxa"/>
            <w:tcBorders>
              <w:top w:val="single" w:sz="4" w:space="0" w:color="4EA72E"/>
              <w:left w:val="nil"/>
              <w:bottom w:val="nil"/>
              <w:right w:val="single" w:sz="4" w:space="0" w:color="4EA72E"/>
            </w:tcBorders>
            <w:hideMark/>
          </w:tcPr>
          <w:p w14:paraId="0A7A0446" w14:textId="18BED041"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Nízký počet učitelů vzhledem k počtu žáků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běžných ZŠ a SŠ. Nízký podíl žáků-cizinců v ZŠ, MŠ a SŠ</w:t>
            </w:r>
          </w:p>
        </w:tc>
      </w:tr>
      <w:tr w:rsidR="00D8026D" w:rsidRPr="00D8026D" w14:paraId="19D7EB39" w14:textId="77777777" w:rsidTr="009A58B0">
        <w:trPr>
          <w:trHeight w:val="2264"/>
        </w:trPr>
        <w:tc>
          <w:tcPr>
            <w:tcW w:w="1507" w:type="dxa"/>
            <w:tcBorders>
              <w:top w:val="single" w:sz="4" w:space="0" w:color="4EA72E"/>
              <w:left w:val="single" w:sz="4" w:space="0" w:color="4EA72E"/>
              <w:bottom w:val="nil"/>
              <w:right w:val="nil"/>
            </w:tcBorders>
            <w:hideMark/>
          </w:tcPr>
          <w:p w14:paraId="30B3707A"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Zlínský kraj</w:t>
            </w:r>
          </w:p>
        </w:tc>
        <w:tc>
          <w:tcPr>
            <w:tcW w:w="1327" w:type="dxa"/>
            <w:tcBorders>
              <w:top w:val="single" w:sz="4" w:space="0" w:color="4EA72E"/>
              <w:left w:val="nil"/>
              <w:bottom w:val="nil"/>
              <w:right w:val="nil"/>
            </w:tcBorders>
            <w:hideMark/>
          </w:tcPr>
          <w:p w14:paraId="6EEECB7D"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Částečná</w:t>
            </w:r>
          </w:p>
        </w:tc>
        <w:tc>
          <w:tcPr>
            <w:tcW w:w="4107" w:type="dxa"/>
            <w:tcBorders>
              <w:top w:val="single" w:sz="4" w:space="0" w:color="4EA72E"/>
              <w:left w:val="nil"/>
              <w:bottom w:val="nil"/>
              <w:right w:val="nil"/>
            </w:tcBorders>
            <w:hideMark/>
          </w:tcPr>
          <w:p w14:paraId="5A016C13" w14:textId="472634A4"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Vysoké platy školních psychologů a učitelů středních škol vzhledem k průměrné mzdě v kraji, Nízký podíl nekvalifikovaných učitelů, vysoká aprobovanost výuky. Vysoký podíl dětí navštěvujících předškolní zařízení. Nízká míra opakování ročníku v ZŠ i SŠ a nízká míra předčasných odchodů ze středního vzdělávání. nejvyšší úspěšnost maturantů. Dobré výsledky žáků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mezinárodních šetřeních i v národním testování.</w:t>
            </w:r>
          </w:p>
        </w:tc>
        <w:tc>
          <w:tcPr>
            <w:tcW w:w="3827" w:type="dxa"/>
            <w:tcBorders>
              <w:top w:val="single" w:sz="4" w:space="0" w:color="4EA72E"/>
              <w:left w:val="nil"/>
              <w:bottom w:val="nil"/>
              <w:right w:val="nil"/>
            </w:tcBorders>
            <w:hideMark/>
          </w:tcPr>
          <w:p w14:paraId="039C03E0"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index šikany u žáků 4. ročníku a nízký pocit sounáležitosti u patnáctiletých žáků, což může ovlivnit školní klima a motivaci žáků k dalšímu vzdělávání.</w:t>
            </w:r>
          </w:p>
        </w:tc>
        <w:tc>
          <w:tcPr>
            <w:tcW w:w="3848" w:type="dxa"/>
            <w:tcBorders>
              <w:top w:val="single" w:sz="4" w:space="0" w:color="4EA72E"/>
              <w:left w:val="nil"/>
              <w:bottom w:val="nil"/>
              <w:right w:val="single" w:sz="4" w:space="0" w:color="4EA72E"/>
            </w:tcBorders>
            <w:hideMark/>
          </w:tcPr>
          <w:p w14:paraId="134D5C3A"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 xml:space="preserve">Vysoký podíl dětí ve speciálních třídách MŠ. </w:t>
            </w:r>
          </w:p>
        </w:tc>
      </w:tr>
      <w:tr w:rsidR="00D8026D" w:rsidRPr="00D8026D" w14:paraId="1CF23CC7" w14:textId="77777777" w:rsidTr="009A58B0">
        <w:trPr>
          <w:trHeight w:val="2030"/>
        </w:trPr>
        <w:tc>
          <w:tcPr>
            <w:tcW w:w="1507" w:type="dxa"/>
            <w:tcBorders>
              <w:top w:val="single" w:sz="4" w:space="0" w:color="4EA72E"/>
              <w:left w:val="single" w:sz="4" w:space="0" w:color="4EA72E"/>
              <w:bottom w:val="single" w:sz="4" w:space="0" w:color="4EA72E"/>
              <w:right w:val="nil"/>
            </w:tcBorders>
            <w:hideMark/>
          </w:tcPr>
          <w:p w14:paraId="0B67AE7F"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Moravskoslezský kraj</w:t>
            </w:r>
          </w:p>
        </w:tc>
        <w:tc>
          <w:tcPr>
            <w:tcW w:w="1327" w:type="dxa"/>
            <w:tcBorders>
              <w:top w:val="single" w:sz="4" w:space="0" w:color="4EA72E"/>
              <w:left w:val="nil"/>
              <w:bottom w:val="single" w:sz="4" w:space="0" w:color="4EA72E"/>
              <w:right w:val="nil"/>
            </w:tcBorders>
            <w:hideMark/>
          </w:tcPr>
          <w:p w14:paraId="239DE7E0" w14:textId="5CECCDB4" w:rsidR="00D8026D" w:rsidRPr="00D8026D" w:rsidRDefault="000960EF" w:rsidP="00D8026D">
            <w:pPr>
              <w:spacing w:after="0"/>
              <w:rPr>
                <w:rFonts w:eastAsia="Times New Roman" w:cs="Calibri"/>
                <w:color w:val="000000"/>
                <w:sz w:val="18"/>
                <w:szCs w:val="18"/>
                <w:lang w:eastAsia="cs-CZ"/>
              </w:rPr>
            </w:pPr>
            <w:r>
              <w:rPr>
                <w:rFonts w:eastAsia="Times New Roman" w:cs="Calibri"/>
                <w:color w:val="000000"/>
                <w:sz w:val="18"/>
                <w:szCs w:val="18"/>
                <w:lang w:eastAsia="cs-CZ"/>
              </w:rPr>
              <w:t>Nízká</w:t>
            </w:r>
          </w:p>
        </w:tc>
        <w:tc>
          <w:tcPr>
            <w:tcW w:w="4107" w:type="dxa"/>
            <w:tcBorders>
              <w:top w:val="single" w:sz="4" w:space="0" w:color="4EA72E"/>
              <w:left w:val="nil"/>
              <w:bottom w:val="single" w:sz="4" w:space="0" w:color="4EA72E"/>
              <w:right w:val="nil"/>
            </w:tcBorders>
            <w:hideMark/>
          </w:tcPr>
          <w:p w14:paraId="7BD53684" w14:textId="77777777"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Vysoká míra aspirací 15letých žáků na vysokoškolské studium. Nízký podíl žáků opakujících ročník v ZŠ, zejména na 1. stupni. Vysoký počet počítačů v přepočtu na žáka v ZŠ i SŠ.</w:t>
            </w:r>
          </w:p>
        </w:tc>
        <w:tc>
          <w:tcPr>
            <w:tcW w:w="3827" w:type="dxa"/>
            <w:tcBorders>
              <w:top w:val="single" w:sz="4" w:space="0" w:color="4EA72E"/>
              <w:left w:val="nil"/>
              <w:bottom w:val="single" w:sz="4" w:space="0" w:color="4EA72E"/>
              <w:right w:val="nil"/>
            </w:tcBorders>
            <w:hideMark/>
          </w:tcPr>
          <w:p w14:paraId="3D99645C" w14:textId="77777777" w:rsidR="00D8026D" w:rsidRPr="00D8026D" w:rsidRDefault="00D8026D" w:rsidP="00D8026D">
            <w:pPr>
              <w:spacing w:after="0"/>
              <w:rPr>
                <w:rFonts w:eastAsia="Times New Roman" w:cs="Calibri"/>
                <w:color w:val="000000"/>
                <w:sz w:val="18"/>
                <w:szCs w:val="18"/>
                <w:lang w:eastAsia="cs-CZ"/>
              </w:rPr>
            </w:pPr>
          </w:p>
        </w:tc>
        <w:tc>
          <w:tcPr>
            <w:tcW w:w="3848" w:type="dxa"/>
            <w:tcBorders>
              <w:top w:val="single" w:sz="4" w:space="0" w:color="4EA72E"/>
              <w:left w:val="nil"/>
              <w:bottom w:val="single" w:sz="4" w:space="0" w:color="4EA72E"/>
              <w:right w:val="single" w:sz="4" w:space="0" w:color="4EA72E"/>
            </w:tcBorders>
            <w:hideMark/>
          </w:tcPr>
          <w:p w14:paraId="40ABE162" w14:textId="55690FBD" w:rsidR="00D8026D" w:rsidRPr="00D8026D" w:rsidRDefault="00D8026D" w:rsidP="00D8026D">
            <w:pPr>
              <w:spacing w:after="0"/>
              <w:rPr>
                <w:rFonts w:eastAsia="Times New Roman" w:cs="Calibri"/>
                <w:color w:val="000000"/>
                <w:sz w:val="18"/>
                <w:szCs w:val="18"/>
                <w:lang w:eastAsia="cs-CZ"/>
              </w:rPr>
            </w:pPr>
            <w:r w:rsidRPr="00D8026D">
              <w:rPr>
                <w:rFonts w:eastAsia="Times New Roman" w:cs="Calibri"/>
                <w:color w:val="000000"/>
                <w:sz w:val="18"/>
                <w:szCs w:val="18"/>
                <w:lang w:eastAsia="cs-CZ"/>
              </w:rPr>
              <w:t>Vysoký počet nepedagogických pracovníků</w:t>
            </w:r>
            <w:r w:rsidR="000960EF">
              <w:rPr>
                <w:rFonts w:eastAsia="Times New Roman" w:cs="Calibri"/>
                <w:color w:val="000000"/>
                <w:sz w:val="18"/>
                <w:szCs w:val="18"/>
                <w:lang w:eastAsia="cs-CZ"/>
              </w:rPr>
              <w:t xml:space="preserve"> </w:t>
            </w:r>
            <w:r w:rsidRPr="00D8026D">
              <w:rPr>
                <w:rFonts w:eastAsia="Times New Roman" w:cs="Calibri"/>
                <w:color w:val="000000"/>
                <w:sz w:val="18"/>
                <w:szCs w:val="18"/>
                <w:lang w:eastAsia="cs-CZ"/>
              </w:rPr>
              <w:t>v přepočtu na děti a žáky. Vysoký podíl žáků v</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neveřejných školách, především SŠ. V</w:t>
            </w:r>
            <w:r w:rsidR="000960EF">
              <w:rPr>
                <w:rFonts w:eastAsia="Times New Roman" w:cs="Calibri"/>
                <w:color w:val="000000"/>
                <w:sz w:val="18"/>
                <w:szCs w:val="18"/>
                <w:lang w:eastAsia="cs-CZ"/>
              </w:rPr>
              <w:t> </w:t>
            </w:r>
            <w:r w:rsidRPr="00D8026D">
              <w:rPr>
                <w:rFonts w:eastAsia="Times New Roman" w:cs="Calibri"/>
                <w:color w:val="000000"/>
                <w:sz w:val="18"/>
                <w:szCs w:val="18"/>
                <w:lang w:eastAsia="cs-CZ"/>
              </w:rPr>
              <w:t>mateřských školách je vysoký podíl dětí vzdělávacích se ve speciálních třídách. V MŠ, ZŠ i</w:t>
            </w:r>
            <w:r w:rsidR="00DF6E08">
              <w:rPr>
                <w:rFonts w:eastAsia="Times New Roman" w:cs="Calibri"/>
                <w:color w:val="000000"/>
                <w:sz w:val="18"/>
                <w:szCs w:val="18"/>
                <w:lang w:eastAsia="cs-CZ"/>
              </w:rPr>
              <w:t> </w:t>
            </w:r>
            <w:r w:rsidRPr="00D8026D">
              <w:rPr>
                <w:rFonts w:eastAsia="Times New Roman" w:cs="Calibri"/>
                <w:color w:val="000000"/>
                <w:sz w:val="18"/>
                <w:szCs w:val="18"/>
                <w:lang w:eastAsia="cs-CZ"/>
              </w:rPr>
              <w:t>SŠ je relativně nízký podíl dětí a žáků-cizinců.</w:t>
            </w:r>
          </w:p>
        </w:tc>
      </w:tr>
      <w:bookmarkEnd w:id="0"/>
    </w:tbl>
    <w:p w14:paraId="7324B555" w14:textId="77777777" w:rsidR="0021143E" w:rsidRDefault="0021143E" w:rsidP="000F6D97">
      <w:pPr>
        <w:jc w:val="both"/>
      </w:pPr>
    </w:p>
    <w:p w14:paraId="303059A0" w14:textId="5A806726" w:rsidR="0024586E" w:rsidRDefault="0024586E" w:rsidP="0024586E">
      <w:pPr>
        <w:pStyle w:val="Nadpis3"/>
        <w:rPr>
          <w:b w:val="0"/>
        </w:rPr>
      </w:pPr>
      <w:bookmarkStart w:id="21" w:name="_Toc211008433"/>
      <w:bookmarkStart w:id="22" w:name="_Toc212712718"/>
      <w:r>
        <w:rPr>
          <w:noProof/>
        </w:rPr>
        <w:lastRenderedPageBreak/>
        <w:drawing>
          <wp:anchor distT="0" distB="0" distL="114300" distR="114300" simplePos="0" relativeHeight="251658242" behindDoc="0" locked="0" layoutInCell="1" allowOverlap="1" wp14:anchorId="3ED0C71B" wp14:editId="6A733ECF">
            <wp:simplePos x="0" y="0"/>
            <wp:positionH relativeFrom="margin">
              <wp:posOffset>3780155</wp:posOffset>
            </wp:positionH>
            <wp:positionV relativeFrom="paragraph">
              <wp:posOffset>370205</wp:posOffset>
            </wp:positionV>
            <wp:extent cx="5391150" cy="2959100"/>
            <wp:effectExtent l="0" t="0" r="0" b="12700"/>
            <wp:wrapThrough wrapText="bothSides">
              <wp:wrapPolygon edited="0">
                <wp:start x="0" y="0"/>
                <wp:lineTo x="0" y="21554"/>
                <wp:lineTo x="21524" y="21554"/>
                <wp:lineTo x="21524" y="0"/>
                <wp:lineTo x="0" y="0"/>
              </wp:wrapPolygon>
            </wp:wrapThrough>
            <wp:docPr id="1036482866" name="Graf 1">
              <a:extLst xmlns:a="http://schemas.openxmlformats.org/drawingml/2006/main">
                <a:ext uri="{FF2B5EF4-FFF2-40B4-BE49-F238E27FC236}">
                  <a16:creationId xmlns:a16="http://schemas.microsoft.com/office/drawing/2014/main" id="{B027BEB3-93F7-E3B3-4315-96728424C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t>Charakteristiky krajů – tabulková část</w:t>
      </w:r>
      <w:bookmarkEnd w:id="21"/>
      <w:bookmarkEnd w:id="22"/>
    </w:p>
    <w:tbl>
      <w:tblPr>
        <w:tblW w:w="5520" w:type="dxa"/>
        <w:tblCellMar>
          <w:left w:w="70" w:type="dxa"/>
          <w:right w:w="70" w:type="dxa"/>
        </w:tblCellMar>
        <w:tblLook w:val="04A0" w:firstRow="1" w:lastRow="0" w:firstColumn="1" w:lastColumn="0" w:noHBand="0" w:noVBand="1"/>
      </w:tblPr>
      <w:tblGrid>
        <w:gridCol w:w="2060"/>
        <w:gridCol w:w="3460"/>
      </w:tblGrid>
      <w:tr w:rsidR="0024586E" w:rsidRPr="00EE6F17" w14:paraId="2111A0F3" w14:textId="77777777" w:rsidTr="009A58B0">
        <w:trPr>
          <w:trHeight w:val="356"/>
        </w:trPr>
        <w:tc>
          <w:tcPr>
            <w:tcW w:w="2060" w:type="dxa"/>
            <w:tcBorders>
              <w:top w:val="single" w:sz="4" w:space="0" w:color="4EA72E"/>
              <w:left w:val="single" w:sz="4" w:space="0" w:color="4EA72E"/>
              <w:bottom w:val="single" w:sz="4" w:space="0" w:color="44B3E1"/>
              <w:right w:val="nil"/>
            </w:tcBorders>
            <w:shd w:val="clear" w:color="4EA72E" w:fill="4EA72E"/>
            <w:noWrap/>
            <w:vAlign w:val="bottom"/>
            <w:hideMark/>
          </w:tcPr>
          <w:p w14:paraId="49EB2571" w14:textId="77777777" w:rsidR="0024586E" w:rsidRPr="00EE6F17" w:rsidRDefault="0024586E" w:rsidP="009574F4">
            <w:pPr>
              <w:spacing w:after="0"/>
              <w:rPr>
                <w:rFonts w:ascii="Aptos Narrow" w:eastAsia="Times New Roman" w:hAnsi="Aptos Narrow" w:cs="Times New Roman"/>
                <w:b/>
                <w:bCs/>
                <w:color w:val="FFFFFF"/>
                <w:szCs w:val="22"/>
                <w:lang w:eastAsia="cs-CZ"/>
              </w:rPr>
            </w:pPr>
            <w:r w:rsidRPr="00EE6F17">
              <w:rPr>
                <w:rFonts w:ascii="Aptos Narrow" w:eastAsia="Times New Roman" w:hAnsi="Aptos Narrow" w:cs="Times New Roman"/>
                <w:b/>
                <w:bCs/>
                <w:color w:val="FFFFFF"/>
                <w:szCs w:val="22"/>
                <w:lang w:eastAsia="cs-CZ"/>
              </w:rPr>
              <w:t>Kraj</w:t>
            </w:r>
          </w:p>
        </w:tc>
        <w:tc>
          <w:tcPr>
            <w:tcW w:w="3460" w:type="dxa"/>
            <w:tcBorders>
              <w:top w:val="single" w:sz="4" w:space="0" w:color="4EA72E"/>
              <w:left w:val="nil"/>
              <w:bottom w:val="single" w:sz="4" w:space="0" w:color="44B3E1"/>
              <w:right w:val="single" w:sz="4" w:space="0" w:color="4EA72E"/>
            </w:tcBorders>
            <w:shd w:val="clear" w:color="4EA72E" w:fill="4EA72E"/>
            <w:noWrap/>
            <w:vAlign w:val="bottom"/>
            <w:hideMark/>
          </w:tcPr>
          <w:p w14:paraId="5D08437B" w14:textId="77777777" w:rsidR="0024586E" w:rsidRPr="00EE6F17" w:rsidRDefault="0024586E" w:rsidP="009574F4">
            <w:pPr>
              <w:spacing w:after="0"/>
              <w:rPr>
                <w:rFonts w:ascii="Aptos Narrow" w:eastAsia="Times New Roman" w:hAnsi="Aptos Narrow" w:cs="Times New Roman"/>
                <w:b/>
                <w:bCs/>
                <w:color w:val="FFFFFF"/>
                <w:szCs w:val="22"/>
                <w:lang w:eastAsia="cs-CZ"/>
              </w:rPr>
            </w:pPr>
            <w:r w:rsidRPr="00EE6F17">
              <w:rPr>
                <w:rFonts w:ascii="Aptos Narrow" w:eastAsia="Times New Roman" w:hAnsi="Aptos Narrow" w:cs="Times New Roman"/>
                <w:b/>
                <w:bCs/>
                <w:color w:val="FFFFFF"/>
                <w:szCs w:val="22"/>
                <w:lang w:eastAsia="cs-CZ"/>
              </w:rPr>
              <w:t>Počet dosažených krajních hodnot</w:t>
            </w:r>
          </w:p>
        </w:tc>
      </w:tr>
      <w:tr w:rsidR="0024586E" w:rsidRPr="00EE6F17" w14:paraId="4241FD12"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3C5846E5"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Hl. m. Praha</w:t>
            </w:r>
          </w:p>
        </w:tc>
        <w:tc>
          <w:tcPr>
            <w:tcW w:w="3460" w:type="dxa"/>
            <w:tcBorders>
              <w:top w:val="single" w:sz="4" w:space="0" w:color="4EA72E"/>
              <w:left w:val="nil"/>
              <w:bottom w:val="nil"/>
              <w:right w:val="single" w:sz="4" w:space="0" w:color="4EA72E"/>
            </w:tcBorders>
            <w:noWrap/>
            <w:vAlign w:val="bottom"/>
            <w:hideMark/>
          </w:tcPr>
          <w:p w14:paraId="21A49702"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86</w:t>
            </w:r>
          </w:p>
        </w:tc>
      </w:tr>
      <w:tr w:rsidR="0024586E" w:rsidRPr="00EE6F17" w14:paraId="0350BF58"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7896711B"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Karlovarský kraj</w:t>
            </w:r>
          </w:p>
        </w:tc>
        <w:tc>
          <w:tcPr>
            <w:tcW w:w="3460" w:type="dxa"/>
            <w:tcBorders>
              <w:top w:val="single" w:sz="4" w:space="0" w:color="4EA72E"/>
              <w:left w:val="nil"/>
              <w:bottom w:val="nil"/>
              <w:right w:val="single" w:sz="4" w:space="0" w:color="4EA72E"/>
            </w:tcBorders>
            <w:noWrap/>
            <w:vAlign w:val="bottom"/>
            <w:hideMark/>
          </w:tcPr>
          <w:p w14:paraId="3E7E0348"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80</w:t>
            </w:r>
          </w:p>
        </w:tc>
      </w:tr>
      <w:tr w:rsidR="0024586E" w:rsidRPr="00EE6F17" w14:paraId="4C4F5D58"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4BC952CF"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Ústecký kraj</w:t>
            </w:r>
          </w:p>
        </w:tc>
        <w:tc>
          <w:tcPr>
            <w:tcW w:w="3460" w:type="dxa"/>
            <w:tcBorders>
              <w:top w:val="single" w:sz="4" w:space="0" w:color="4EA72E"/>
              <w:left w:val="nil"/>
              <w:bottom w:val="nil"/>
              <w:right w:val="single" w:sz="4" w:space="0" w:color="4EA72E"/>
            </w:tcBorders>
            <w:noWrap/>
            <w:vAlign w:val="bottom"/>
            <w:hideMark/>
          </w:tcPr>
          <w:p w14:paraId="057A9FC1"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65</w:t>
            </w:r>
          </w:p>
        </w:tc>
      </w:tr>
      <w:tr w:rsidR="0024586E" w:rsidRPr="00EE6F17" w14:paraId="4857325B"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1BBCD595"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Zlínský kraj</w:t>
            </w:r>
          </w:p>
        </w:tc>
        <w:tc>
          <w:tcPr>
            <w:tcW w:w="3460" w:type="dxa"/>
            <w:tcBorders>
              <w:top w:val="single" w:sz="4" w:space="0" w:color="4EA72E"/>
              <w:left w:val="nil"/>
              <w:bottom w:val="nil"/>
              <w:right w:val="single" w:sz="4" w:space="0" w:color="4EA72E"/>
            </w:tcBorders>
            <w:noWrap/>
            <w:vAlign w:val="bottom"/>
            <w:hideMark/>
          </w:tcPr>
          <w:p w14:paraId="365A7C16"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42</w:t>
            </w:r>
          </w:p>
        </w:tc>
      </w:tr>
      <w:tr w:rsidR="0024586E" w:rsidRPr="00EE6F17" w14:paraId="0474CE2F"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5433A925"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Kraj Vysočina</w:t>
            </w:r>
          </w:p>
        </w:tc>
        <w:tc>
          <w:tcPr>
            <w:tcW w:w="3460" w:type="dxa"/>
            <w:tcBorders>
              <w:top w:val="single" w:sz="4" w:space="0" w:color="4EA72E"/>
              <w:left w:val="nil"/>
              <w:bottom w:val="nil"/>
              <w:right w:val="single" w:sz="4" w:space="0" w:color="4EA72E"/>
            </w:tcBorders>
            <w:noWrap/>
            <w:vAlign w:val="bottom"/>
            <w:hideMark/>
          </w:tcPr>
          <w:p w14:paraId="5CECD358"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34</w:t>
            </w:r>
          </w:p>
        </w:tc>
      </w:tr>
      <w:tr w:rsidR="0024586E" w:rsidRPr="00EE6F17" w14:paraId="120E3721"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1016942E"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Středočeský kraj</w:t>
            </w:r>
          </w:p>
        </w:tc>
        <w:tc>
          <w:tcPr>
            <w:tcW w:w="3460" w:type="dxa"/>
            <w:tcBorders>
              <w:top w:val="single" w:sz="4" w:space="0" w:color="4EA72E"/>
              <w:left w:val="nil"/>
              <w:bottom w:val="nil"/>
              <w:right w:val="single" w:sz="4" w:space="0" w:color="4EA72E"/>
            </w:tcBorders>
            <w:noWrap/>
            <w:vAlign w:val="bottom"/>
            <w:hideMark/>
          </w:tcPr>
          <w:p w14:paraId="4D3F578A"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31</w:t>
            </w:r>
          </w:p>
        </w:tc>
      </w:tr>
      <w:tr w:rsidR="0024586E" w:rsidRPr="00EE6F17" w14:paraId="3231B902"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4665B957"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Olomoucký kraj</w:t>
            </w:r>
          </w:p>
        </w:tc>
        <w:tc>
          <w:tcPr>
            <w:tcW w:w="3460" w:type="dxa"/>
            <w:tcBorders>
              <w:top w:val="single" w:sz="4" w:space="0" w:color="4EA72E"/>
              <w:left w:val="nil"/>
              <w:bottom w:val="nil"/>
              <w:right w:val="single" w:sz="4" w:space="0" w:color="4EA72E"/>
            </w:tcBorders>
            <w:noWrap/>
            <w:vAlign w:val="bottom"/>
            <w:hideMark/>
          </w:tcPr>
          <w:p w14:paraId="47841BF7"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27</w:t>
            </w:r>
          </w:p>
        </w:tc>
      </w:tr>
      <w:tr w:rsidR="0024586E" w:rsidRPr="00EE6F17" w14:paraId="57C9AC1C"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3893593E"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Jihočeský kraj</w:t>
            </w:r>
          </w:p>
        </w:tc>
        <w:tc>
          <w:tcPr>
            <w:tcW w:w="3460" w:type="dxa"/>
            <w:tcBorders>
              <w:top w:val="single" w:sz="4" w:space="0" w:color="4EA72E"/>
              <w:left w:val="nil"/>
              <w:bottom w:val="nil"/>
              <w:right w:val="single" w:sz="4" w:space="0" w:color="4EA72E"/>
            </w:tcBorders>
            <w:noWrap/>
            <w:vAlign w:val="bottom"/>
            <w:hideMark/>
          </w:tcPr>
          <w:p w14:paraId="07D37F5C"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24</w:t>
            </w:r>
          </w:p>
        </w:tc>
      </w:tr>
      <w:tr w:rsidR="0024586E" w:rsidRPr="00EE6F17" w14:paraId="3E321C25"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6EDC9725"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Liberecký kraj</w:t>
            </w:r>
          </w:p>
        </w:tc>
        <w:tc>
          <w:tcPr>
            <w:tcW w:w="3460" w:type="dxa"/>
            <w:tcBorders>
              <w:top w:val="single" w:sz="4" w:space="0" w:color="4EA72E"/>
              <w:left w:val="nil"/>
              <w:bottom w:val="nil"/>
              <w:right w:val="single" w:sz="4" w:space="0" w:color="4EA72E"/>
            </w:tcBorders>
            <w:noWrap/>
            <w:vAlign w:val="bottom"/>
            <w:hideMark/>
          </w:tcPr>
          <w:p w14:paraId="1F9F52A4"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24</w:t>
            </w:r>
          </w:p>
        </w:tc>
      </w:tr>
      <w:tr w:rsidR="0024586E" w:rsidRPr="00EE6F17" w14:paraId="4922DEE2"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236E849F"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Jihomoravský kraj</w:t>
            </w:r>
          </w:p>
        </w:tc>
        <w:tc>
          <w:tcPr>
            <w:tcW w:w="3460" w:type="dxa"/>
            <w:tcBorders>
              <w:top w:val="single" w:sz="4" w:space="0" w:color="4EA72E"/>
              <w:left w:val="nil"/>
              <w:bottom w:val="nil"/>
              <w:right w:val="single" w:sz="4" w:space="0" w:color="4EA72E"/>
            </w:tcBorders>
            <w:noWrap/>
            <w:vAlign w:val="bottom"/>
            <w:hideMark/>
          </w:tcPr>
          <w:p w14:paraId="61E27EAF"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24</w:t>
            </w:r>
          </w:p>
        </w:tc>
      </w:tr>
      <w:tr w:rsidR="0024586E" w:rsidRPr="00EE6F17" w14:paraId="18D7297A"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59CD5FBD"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Pardubický kraj</w:t>
            </w:r>
          </w:p>
        </w:tc>
        <w:tc>
          <w:tcPr>
            <w:tcW w:w="3460" w:type="dxa"/>
            <w:tcBorders>
              <w:top w:val="single" w:sz="4" w:space="0" w:color="4EA72E"/>
              <w:left w:val="nil"/>
              <w:bottom w:val="nil"/>
              <w:right w:val="single" w:sz="4" w:space="0" w:color="4EA72E"/>
            </w:tcBorders>
            <w:noWrap/>
            <w:vAlign w:val="bottom"/>
            <w:hideMark/>
          </w:tcPr>
          <w:p w14:paraId="36DEB51F"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18</w:t>
            </w:r>
          </w:p>
        </w:tc>
      </w:tr>
      <w:tr w:rsidR="0024586E" w:rsidRPr="00EE6F17" w14:paraId="25DD2EE0"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115EDE2D"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Plzeňský kraj</w:t>
            </w:r>
          </w:p>
        </w:tc>
        <w:tc>
          <w:tcPr>
            <w:tcW w:w="3460" w:type="dxa"/>
            <w:tcBorders>
              <w:top w:val="single" w:sz="4" w:space="0" w:color="4EA72E"/>
              <w:left w:val="nil"/>
              <w:bottom w:val="nil"/>
              <w:right w:val="single" w:sz="4" w:space="0" w:color="4EA72E"/>
            </w:tcBorders>
            <w:noWrap/>
            <w:vAlign w:val="bottom"/>
            <w:hideMark/>
          </w:tcPr>
          <w:p w14:paraId="7F7E284E"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17</w:t>
            </w:r>
          </w:p>
        </w:tc>
      </w:tr>
      <w:tr w:rsidR="0024586E" w:rsidRPr="00EE6F17" w14:paraId="2C818FEC" w14:textId="77777777" w:rsidTr="009A58B0">
        <w:trPr>
          <w:trHeight w:val="290"/>
        </w:trPr>
        <w:tc>
          <w:tcPr>
            <w:tcW w:w="2060" w:type="dxa"/>
            <w:tcBorders>
              <w:top w:val="single" w:sz="4" w:space="0" w:color="4EA72E"/>
              <w:left w:val="single" w:sz="4" w:space="0" w:color="4EA72E"/>
              <w:bottom w:val="nil"/>
              <w:right w:val="nil"/>
            </w:tcBorders>
            <w:noWrap/>
            <w:vAlign w:val="bottom"/>
            <w:hideMark/>
          </w:tcPr>
          <w:p w14:paraId="315C08A4"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Moravskoslezský kraj</w:t>
            </w:r>
          </w:p>
        </w:tc>
        <w:tc>
          <w:tcPr>
            <w:tcW w:w="3460" w:type="dxa"/>
            <w:tcBorders>
              <w:top w:val="single" w:sz="4" w:space="0" w:color="4EA72E"/>
              <w:left w:val="nil"/>
              <w:bottom w:val="nil"/>
              <w:right w:val="single" w:sz="4" w:space="0" w:color="4EA72E"/>
            </w:tcBorders>
            <w:noWrap/>
            <w:vAlign w:val="bottom"/>
            <w:hideMark/>
          </w:tcPr>
          <w:p w14:paraId="32C43713"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17</w:t>
            </w:r>
          </w:p>
        </w:tc>
      </w:tr>
      <w:tr w:rsidR="0024586E" w:rsidRPr="00EE6F17" w14:paraId="7F675F9C" w14:textId="77777777" w:rsidTr="009A58B0">
        <w:trPr>
          <w:trHeight w:val="290"/>
        </w:trPr>
        <w:tc>
          <w:tcPr>
            <w:tcW w:w="2060" w:type="dxa"/>
            <w:tcBorders>
              <w:top w:val="single" w:sz="4" w:space="0" w:color="4EA72E"/>
              <w:left w:val="single" w:sz="4" w:space="0" w:color="4EA72E"/>
              <w:bottom w:val="single" w:sz="4" w:space="0" w:color="4EA72E"/>
              <w:right w:val="nil"/>
            </w:tcBorders>
            <w:noWrap/>
            <w:vAlign w:val="bottom"/>
            <w:hideMark/>
          </w:tcPr>
          <w:p w14:paraId="017B172C" w14:textId="77777777" w:rsidR="0024586E" w:rsidRPr="00EE6F17" w:rsidRDefault="0024586E" w:rsidP="009574F4">
            <w:pPr>
              <w:spacing w:after="0"/>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Královéhradecký kraj</w:t>
            </w:r>
          </w:p>
        </w:tc>
        <w:tc>
          <w:tcPr>
            <w:tcW w:w="3460" w:type="dxa"/>
            <w:tcBorders>
              <w:top w:val="single" w:sz="4" w:space="0" w:color="4EA72E"/>
              <w:left w:val="nil"/>
              <w:bottom w:val="single" w:sz="4" w:space="0" w:color="4EA72E"/>
              <w:right w:val="single" w:sz="4" w:space="0" w:color="4EA72E"/>
            </w:tcBorders>
            <w:noWrap/>
            <w:vAlign w:val="bottom"/>
            <w:hideMark/>
          </w:tcPr>
          <w:p w14:paraId="6A349C91" w14:textId="77777777" w:rsidR="0024586E" w:rsidRPr="00EE6F17" w:rsidRDefault="0024586E" w:rsidP="009574F4">
            <w:pPr>
              <w:spacing w:after="0"/>
              <w:jc w:val="center"/>
              <w:rPr>
                <w:rFonts w:ascii="Aptos Narrow" w:eastAsia="Times New Roman" w:hAnsi="Aptos Narrow" w:cs="Times New Roman"/>
                <w:color w:val="000000"/>
                <w:szCs w:val="22"/>
                <w:lang w:eastAsia="cs-CZ"/>
              </w:rPr>
            </w:pPr>
            <w:r w:rsidRPr="00EE6F17">
              <w:rPr>
                <w:rFonts w:ascii="Aptos Narrow" w:eastAsia="Times New Roman" w:hAnsi="Aptos Narrow" w:cs="Times New Roman"/>
                <w:color w:val="000000"/>
                <w:szCs w:val="22"/>
                <w:lang w:eastAsia="cs-CZ"/>
              </w:rPr>
              <w:t>11</w:t>
            </w:r>
          </w:p>
        </w:tc>
      </w:tr>
    </w:tbl>
    <w:p w14:paraId="3BCBCF6B" w14:textId="77777777" w:rsidR="0024586E" w:rsidRPr="0074531F" w:rsidRDefault="0024586E" w:rsidP="0024586E"/>
    <w:p w14:paraId="2A2E922C" w14:textId="77777777" w:rsidR="00D96059" w:rsidRDefault="00D96059">
      <w:pPr>
        <w:spacing w:line="276" w:lineRule="auto"/>
        <w:rPr>
          <w:rFonts w:eastAsiaTheme="majorEastAsia" w:cstheme="majorBidi"/>
          <w:b/>
          <w:color w:val="4C4C4C"/>
          <w:sz w:val="24"/>
          <w:szCs w:val="23"/>
        </w:rPr>
      </w:pPr>
      <w:r>
        <w:br w:type="page"/>
      </w:r>
    </w:p>
    <w:p w14:paraId="14E11D81" w14:textId="0CFEE89D" w:rsidR="0024586E" w:rsidRDefault="0024586E" w:rsidP="0024586E">
      <w:pPr>
        <w:pStyle w:val="Nadpis4"/>
        <w:rPr>
          <w:b w:val="0"/>
        </w:rPr>
      </w:pPr>
      <w:r w:rsidRPr="00417F26">
        <w:lastRenderedPageBreak/>
        <w:t>Hlavní město Praha</w:t>
      </w:r>
    </w:p>
    <w:p w14:paraId="1B35AB57" w14:textId="77777777" w:rsidR="0024586E" w:rsidRPr="00241ECC" w:rsidRDefault="0024586E" w:rsidP="0024586E">
      <w:pPr>
        <w:spacing w:line="276" w:lineRule="auto"/>
        <w:jc w:val="both"/>
      </w:pPr>
      <w:r>
        <w:t xml:space="preserve">Praha je jeden z regionů, který je ve srovnání s ostatními kraji v mnoha ohledech odlišný. </w:t>
      </w:r>
      <w:r w:rsidRPr="00241ECC">
        <w:t>Praha se vyznačuje</w:t>
      </w:r>
      <w:r>
        <w:t xml:space="preserve"> nízkými</w:t>
      </w:r>
      <w:r>
        <w:rPr>
          <w:rStyle w:val="Znakapoznpodarou"/>
        </w:rPr>
        <w:footnoteReference w:id="9"/>
      </w:r>
      <w:r>
        <w:t xml:space="preserve"> platy pedagogických i nepedagogických pracovníků k průměrné mzdě, relativně vysokým zastoupením školních psychologů a školních speciálních pedagogů, nízkým zastoupením asistentů pedagoga v ZŠ a SŠ, vysokými počty žáků na učitele na všech stupních vzdělávání a vysokým podílem nekvalifikovaných učitelů MŠ. Dále jde o kraj s vysokým podílem dětí a žáků v neveřejných školách a nízkým podílem žáků v malých nebo malotřídních školách. Na úrovni středního vzdělávání má vysoký podíl žáků v maturitních oborech (gymnaziálních a negymnaziálních) a naopak nízký podíl žáků v oborech s výučním listem. Žáci z oborů s výučním listem se následně </w:t>
      </w:r>
      <w:proofErr w:type="gramStart"/>
      <w:r>
        <w:t>častěji</w:t>
      </w:r>
      <w:proofErr w:type="gramEnd"/>
      <w:r>
        <w:t xml:space="preserve"> než v ostatních krajích hlásí do nástavbového studia v denní formě vzdělávání. Dále má Hl. m. Praha nejvyšší míru odchodů na víceletá gymnázia a konzervatoře. Je zde nejvyšší podíl žáků aspirujících na maturitní a vysokoškolské studium. V rámci českých krajů má nejvyšší míru zastoupení dětí a žáků-cizinců ve vzdělávání. Zaznamenává nejvyšší míru docházky dětí z 1. stupně do školní družiny a nejméně často ze všech krajů jsou školní družiny plně obsazené. Má nízkou míru zastoupení dětí a žáků se zdravotním znevýhodněním v běžných třídách. Docházka do MŠ je nízká u dvouletých a pětiletých dětí. Žáci dosahují velmi dobrých výsledků v testování v rámci národních i mezinárodních šetření. Je tu nízký podíl žáků opakujících ročník, nízký podíl žáků odcházejících ze základní školy bez dosaženého stupně vzdělání a nízký podíl žáků, kteří odcházejí ze střední školy během prvního ročníku nebo v dalším průběhu studia. Vysoký je však podíl </w:t>
      </w:r>
      <w:r w:rsidRPr="00D9625C">
        <w:t>absolventů ZŠ, kteří v daném roce nepokračují na SŠ nebo konzervatoř</w:t>
      </w:r>
      <w:r>
        <w:t>. ZŠ a SŠ mají k dispozici nižší počet počítačů v přepočtu na žáka.</w:t>
      </w:r>
    </w:p>
    <w:tbl>
      <w:tblPr>
        <w:tblW w:w="5000" w:type="pct"/>
        <w:tblCellMar>
          <w:left w:w="70" w:type="dxa"/>
          <w:right w:w="70" w:type="dxa"/>
        </w:tblCellMar>
        <w:tblLook w:val="04A0" w:firstRow="1" w:lastRow="0" w:firstColumn="1" w:lastColumn="0" w:noHBand="0" w:noVBand="1"/>
      </w:tblPr>
      <w:tblGrid>
        <w:gridCol w:w="6708"/>
        <w:gridCol w:w="1886"/>
        <w:gridCol w:w="3295"/>
        <w:gridCol w:w="1574"/>
        <w:gridCol w:w="813"/>
      </w:tblGrid>
      <w:tr w:rsidR="0024586E" w:rsidRPr="00241ECC" w14:paraId="05785F58" w14:textId="77777777" w:rsidTr="009A58B0">
        <w:trPr>
          <w:trHeight w:val="290"/>
          <w:tblHeader/>
        </w:trPr>
        <w:tc>
          <w:tcPr>
            <w:tcW w:w="2355" w:type="pct"/>
            <w:tcBorders>
              <w:top w:val="single" w:sz="4" w:space="0" w:color="8ED973"/>
              <w:left w:val="single" w:sz="4" w:space="0" w:color="4EA72E"/>
              <w:bottom w:val="nil"/>
              <w:right w:val="nil"/>
            </w:tcBorders>
            <w:shd w:val="clear" w:color="4EA72E" w:fill="4EA72E"/>
            <w:vAlign w:val="bottom"/>
            <w:hideMark/>
          </w:tcPr>
          <w:p w14:paraId="74FAFB66" w14:textId="77777777" w:rsidR="0024586E" w:rsidRPr="00241ECC" w:rsidRDefault="0024586E" w:rsidP="009574F4">
            <w:pPr>
              <w:spacing w:after="0"/>
              <w:rPr>
                <w:rFonts w:eastAsia="Times New Roman" w:cs="Calibri"/>
                <w:b/>
                <w:bCs/>
                <w:color w:val="FFFFFF"/>
                <w:sz w:val="20"/>
                <w:szCs w:val="20"/>
                <w:lang w:eastAsia="cs-CZ"/>
              </w:rPr>
            </w:pPr>
            <w:r w:rsidRPr="00241ECC">
              <w:rPr>
                <w:rFonts w:eastAsia="Times New Roman" w:cs="Calibri"/>
                <w:b/>
                <w:bCs/>
                <w:color w:val="FFFFFF"/>
                <w:sz w:val="20"/>
                <w:szCs w:val="20"/>
                <w:lang w:eastAsia="cs-CZ"/>
              </w:rPr>
              <w:t>Název údaje</w:t>
            </w:r>
          </w:p>
        </w:tc>
        <w:tc>
          <w:tcPr>
            <w:tcW w:w="666" w:type="pct"/>
            <w:tcBorders>
              <w:top w:val="single" w:sz="4" w:space="0" w:color="8ED973"/>
              <w:left w:val="nil"/>
              <w:bottom w:val="nil"/>
              <w:right w:val="nil"/>
            </w:tcBorders>
            <w:shd w:val="clear" w:color="4EA72E" w:fill="4EA72E"/>
            <w:noWrap/>
            <w:vAlign w:val="bottom"/>
            <w:hideMark/>
          </w:tcPr>
          <w:p w14:paraId="5B8B6D3E" w14:textId="77777777" w:rsidR="0024586E" w:rsidRPr="00241ECC" w:rsidRDefault="0024586E" w:rsidP="009574F4">
            <w:pPr>
              <w:spacing w:after="0"/>
              <w:rPr>
                <w:rFonts w:eastAsia="Times New Roman" w:cs="Calibri"/>
                <w:b/>
                <w:bCs/>
                <w:color w:val="FFFFFF"/>
                <w:sz w:val="20"/>
                <w:szCs w:val="20"/>
                <w:lang w:eastAsia="cs-CZ"/>
              </w:rPr>
            </w:pPr>
            <w:r w:rsidRPr="00241ECC">
              <w:rPr>
                <w:rFonts w:eastAsia="Times New Roman" w:cs="Calibri"/>
                <w:b/>
                <w:bCs/>
                <w:color w:val="FFFFFF"/>
                <w:sz w:val="20"/>
                <w:szCs w:val="20"/>
                <w:lang w:eastAsia="cs-CZ"/>
              </w:rPr>
              <w:t>Oblast</w:t>
            </w:r>
          </w:p>
        </w:tc>
        <w:tc>
          <w:tcPr>
            <w:tcW w:w="1132" w:type="pct"/>
            <w:tcBorders>
              <w:top w:val="single" w:sz="4" w:space="0" w:color="8ED973"/>
              <w:left w:val="nil"/>
              <w:bottom w:val="nil"/>
              <w:right w:val="nil"/>
            </w:tcBorders>
            <w:shd w:val="clear" w:color="4EA72E" w:fill="4EA72E"/>
            <w:noWrap/>
            <w:vAlign w:val="bottom"/>
            <w:hideMark/>
          </w:tcPr>
          <w:p w14:paraId="0EEAC0AA" w14:textId="77777777" w:rsidR="0024586E" w:rsidRPr="00241ECC" w:rsidRDefault="0024586E" w:rsidP="009574F4">
            <w:pPr>
              <w:spacing w:after="0"/>
              <w:rPr>
                <w:rFonts w:eastAsia="Times New Roman" w:cs="Calibri"/>
                <w:b/>
                <w:bCs/>
                <w:color w:val="FFFFFF"/>
                <w:sz w:val="20"/>
                <w:szCs w:val="20"/>
                <w:lang w:eastAsia="cs-CZ"/>
              </w:rPr>
            </w:pPr>
            <w:r w:rsidRPr="00241ECC">
              <w:rPr>
                <w:rFonts w:eastAsia="Times New Roman" w:cs="Calibri"/>
                <w:b/>
                <w:bCs/>
                <w:color w:val="FFFFFF"/>
                <w:sz w:val="20"/>
                <w:szCs w:val="20"/>
                <w:lang w:eastAsia="cs-CZ"/>
              </w:rPr>
              <w:t>Podoblast</w:t>
            </w:r>
          </w:p>
        </w:tc>
        <w:tc>
          <w:tcPr>
            <w:tcW w:w="557" w:type="pct"/>
            <w:tcBorders>
              <w:top w:val="single" w:sz="4" w:space="0" w:color="8ED973"/>
              <w:left w:val="nil"/>
              <w:bottom w:val="nil"/>
              <w:right w:val="nil"/>
            </w:tcBorders>
            <w:shd w:val="clear" w:color="4EA72E" w:fill="4EA72E"/>
            <w:noWrap/>
            <w:vAlign w:val="bottom"/>
            <w:hideMark/>
          </w:tcPr>
          <w:p w14:paraId="5EEDE4C4" w14:textId="77777777" w:rsidR="0024586E" w:rsidRPr="00241ECC" w:rsidRDefault="0024586E" w:rsidP="009574F4">
            <w:pPr>
              <w:spacing w:after="0"/>
              <w:rPr>
                <w:rFonts w:eastAsia="Times New Roman" w:cs="Calibri"/>
                <w:b/>
                <w:bCs/>
                <w:color w:val="FFFFFF"/>
                <w:sz w:val="20"/>
                <w:szCs w:val="20"/>
                <w:lang w:eastAsia="cs-CZ"/>
              </w:rPr>
            </w:pPr>
            <w:r w:rsidRPr="00241ECC">
              <w:rPr>
                <w:rFonts w:eastAsia="Times New Roman" w:cs="Calibri"/>
                <w:b/>
                <w:bCs/>
                <w:color w:val="FFFFFF"/>
                <w:sz w:val="20"/>
                <w:szCs w:val="20"/>
                <w:lang w:eastAsia="cs-CZ"/>
              </w:rPr>
              <w:t>Stupeň vzdělání</w:t>
            </w:r>
          </w:p>
        </w:tc>
        <w:tc>
          <w:tcPr>
            <w:tcW w:w="291" w:type="pct"/>
            <w:tcBorders>
              <w:top w:val="single" w:sz="4" w:space="0" w:color="8ED973"/>
              <w:left w:val="nil"/>
              <w:bottom w:val="nil"/>
              <w:right w:val="single" w:sz="4" w:space="0" w:color="4EA72E"/>
            </w:tcBorders>
            <w:shd w:val="clear" w:color="4EA72E" w:fill="4EA72E"/>
            <w:noWrap/>
            <w:vAlign w:val="bottom"/>
            <w:hideMark/>
          </w:tcPr>
          <w:p w14:paraId="676E1715" w14:textId="77777777" w:rsidR="0024586E" w:rsidRPr="00241ECC" w:rsidRDefault="0024586E" w:rsidP="009574F4">
            <w:pPr>
              <w:spacing w:after="0"/>
              <w:rPr>
                <w:rFonts w:eastAsia="Times New Roman" w:cs="Calibri"/>
                <w:b/>
                <w:bCs/>
                <w:color w:val="FFFFFF"/>
                <w:sz w:val="20"/>
                <w:szCs w:val="20"/>
                <w:lang w:eastAsia="cs-CZ"/>
              </w:rPr>
            </w:pPr>
            <w:r w:rsidRPr="00241ECC">
              <w:rPr>
                <w:rFonts w:eastAsia="Times New Roman" w:cs="Calibri"/>
                <w:b/>
                <w:bCs/>
                <w:color w:val="FFFFFF"/>
                <w:sz w:val="20"/>
                <w:szCs w:val="20"/>
                <w:lang w:eastAsia="cs-CZ"/>
              </w:rPr>
              <w:t>Pořadí</w:t>
            </w:r>
          </w:p>
        </w:tc>
      </w:tr>
      <w:tr w:rsidR="0024586E" w:rsidRPr="00241ECC" w14:paraId="65508839" w14:textId="77777777" w:rsidTr="009A58B0">
        <w:trPr>
          <w:trHeight w:val="290"/>
        </w:trPr>
        <w:tc>
          <w:tcPr>
            <w:tcW w:w="2355" w:type="pct"/>
            <w:tcBorders>
              <w:top w:val="single" w:sz="4" w:space="0" w:color="8ED973"/>
              <w:left w:val="single" w:sz="4" w:space="0" w:color="4EA72E"/>
              <w:bottom w:val="nil"/>
              <w:right w:val="nil"/>
            </w:tcBorders>
            <w:hideMark/>
          </w:tcPr>
          <w:p w14:paraId="75EE56D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úvazků psychologa na 10 tis. dětí a žáků za ředitelství</w:t>
            </w:r>
          </w:p>
        </w:tc>
        <w:tc>
          <w:tcPr>
            <w:tcW w:w="666" w:type="pct"/>
            <w:tcBorders>
              <w:top w:val="single" w:sz="4" w:space="0" w:color="8ED973"/>
              <w:left w:val="nil"/>
              <w:bottom w:val="nil"/>
              <w:right w:val="nil"/>
            </w:tcBorders>
            <w:noWrap/>
            <w:hideMark/>
          </w:tcPr>
          <w:p w14:paraId="53870FF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7F7D1D4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7DD8E16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 ZŠ, SŠ</w:t>
            </w:r>
          </w:p>
        </w:tc>
        <w:tc>
          <w:tcPr>
            <w:tcW w:w="291" w:type="pct"/>
            <w:tcBorders>
              <w:top w:val="single" w:sz="4" w:space="0" w:color="8ED973"/>
              <w:left w:val="nil"/>
              <w:bottom w:val="nil"/>
              <w:right w:val="single" w:sz="4" w:space="0" w:color="4EA72E"/>
            </w:tcBorders>
            <w:noWrap/>
            <w:hideMark/>
          </w:tcPr>
          <w:p w14:paraId="044BA6F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624C98EF" w14:textId="77777777" w:rsidTr="009A58B0">
        <w:trPr>
          <w:trHeight w:val="290"/>
        </w:trPr>
        <w:tc>
          <w:tcPr>
            <w:tcW w:w="2355" w:type="pct"/>
            <w:tcBorders>
              <w:top w:val="single" w:sz="4" w:space="0" w:color="8ED973"/>
              <w:left w:val="single" w:sz="4" w:space="0" w:color="4EA72E"/>
              <w:bottom w:val="nil"/>
              <w:right w:val="nil"/>
            </w:tcBorders>
            <w:hideMark/>
          </w:tcPr>
          <w:p w14:paraId="5D86EBA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úvazků speciálního pedagoga na 10 tis. dětí a žáků za ředitelství</w:t>
            </w:r>
          </w:p>
        </w:tc>
        <w:tc>
          <w:tcPr>
            <w:tcW w:w="666" w:type="pct"/>
            <w:tcBorders>
              <w:top w:val="single" w:sz="4" w:space="0" w:color="8ED973"/>
              <w:left w:val="nil"/>
              <w:bottom w:val="nil"/>
              <w:right w:val="nil"/>
            </w:tcBorders>
            <w:noWrap/>
            <w:hideMark/>
          </w:tcPr>
          <w:p w14:paraId="1C0AD2D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66482B6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79B69E7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 ZŠ, SŠ</w:t>
            </w:r>
          </w:p>
        </w:tc>
        <w:tc>
          <w:tcPr>
            <w:tcW w:w="291" w:type="pct"/>
            <w:tcBorders>
              <w:top w:val="single" w:sz="4" w:space="0" w:color="8ED973"/>
              <w:left w:val="nil"/>
              <w:bottom w:val="nil"/>
              <w:right w:val="single" w:sz="4" w:space="0" w:color="4EA72E"/>
            </w:tcBorders>
            <w:noWrap/>
            <w:hideMark/>
          </w:tcPr>
          <w:p w14:paraId="6DEAC32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2</w:t>
            </w:r>
          </w:p>
        </w:tc>
      </w:tr>
      <w:tr w:rsidR="0024586E" w:rsidRPr="00241ECC" w14:paraId="63726914" w14:textId="77777777" w:rsidTr="009A58B0">
        <w:trPr>
          <w:trHeight w:val="290"/>
        </w:trPr>
        <w:tc>
          <w:tcPr>
            <w:tcW w:w="2355" w:type="pct"/>
            <w:tcBorders>
              <w:top w:val="single" w:sz="4" w:space="0" w:color="8ED973"/>
              <w:left w:val="single" w:sz="4" w:space="0" w:color="4EA72E"/>
              <w:bottom w:val="nil"/>
              <w:right w:val="nil"/>
            </w:tcBorders>
            <w:hideMark/>
          </w:tcPr>
          <w:p w14:paraId="2F9401D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úvazků asistenta pedagoga v ZŠ na 10 tis. žáků</w:t>
            </w:r>
          </w:p>
        </w:tc>
        <w:tc>
          <w:tcPr>
            <w:tcW w:w="666" w:type="pct"/>
            <w:tcBorders>
              <w:top w:val="single" w:sz="4" w:space="0" w:color="8ED973"/>
              <w:left w:val="nil"/>
              <w:bottom w:val="nil"/>
              <w:right w:val="nil"/>
            </w:tcBorders>
            <w:noWrap/>
            <w:hideMark/>
          </w:tcPr>
          <w:p w14:paraId="5C172FA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008B18D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7345CD4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57E0BAF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5F530FD8" w14:textId="77777777" w:rsidTr="009A58B0">
        <w:trPr>
          <w:trHeight w:val="290"/>
        </w:trPr>
        <w:tc>
          <w:tcPr>
            <w:tcW w:w="2355" w:type="pct"/>
            <w:tcBorders>
              <w:top w:val="single" w:sz="4" w:space="0" w:color="8ED973"/>
              <w:left w:val="single" w:sz="4" w:space="0" w:color="4EA72E"/>
              <w:bottom w:val="nil"/>
              <w:right w:val="nil"/>
            </w:tcBorders>
            <w:hideMark/>
          </w:tcPr>
          <w:p w14:paraId="3736170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úvazků asistenta pedagoga v SŠ na 10 tis. žáků</w:t>
            </w:r>
          </w:p>
        </w:tc>
        <w:tc>
          <w:tcPr>
            <w:tcW w:w="666" w:type="pct"/>
            <w:tcBorders>
              <w:top w:val="single" w:sz="4" w:space="0" w:color="8ED973"/>
              <w:left w:val="nil"/>
              <w:bottom w:val="nil"/>
              <w:right w:val="nil"/>
            </w:tcBorders>
            <w:noWrap/>
            <w:hideMark/>
          </w:tcPr>
          <w:p w14:paraId="311F586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1A8FBCA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17459DA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4BDC59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593EFBE8" w14:textId="77777777" w:rsidTr="009A58B0">
        <w:trPr>
          <w:trHeight w:val="290"/>
        </w:trPr>
        <w:tc>
          <w:tcPr>
            <w:tcW w:w="2355" w:type="pct"/>
            <w:tcBorders>
              <w:top w:val="single" w:sz="4" w:space="0" w:color="8ED973"/>
              <w:left w:val="single" w:sz="4" w:space="0" w:color="4EA72E"/>
              <w:bottom w:val="nil"/>
              <w:right w:val="nil"/>
            </w:tcBorders>
            <w:hideMark/>
          </w:tcPr>
          <w:p w14:paraId="1093BC5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asistenta pedagoga k průměrné mzdě</w:t>
            </w:r>
          </w:p>
        </w:tc>
        <w:tc>
          <w:tcPr>
            <w:tcW w:w="666" w:type="pct"/>
            <w:tcBorders>
              <w:top w:val="single" w:sz="4" w:space="0" w:color="8ED973"/>
              <w:left w:val="nil"/>
              <w:bottom w:val="nil"/>
              <w:right w:val="nil"/>
            </w:tcBorders>
            <w:noWrap/>
            <w:hideMark/>
          </w:tcPr>
          <w:p w14:paraId="0EAC4A0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02A0461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59AD6A2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 ZŠ, SŠ</w:t>
            </w:r>
          </w:p>
        </w:tc>
        <w:tc>
          <w:tcPr>
            <w:tcW w:w="291" w:type="pct"/>
            <w:tcBorders>
              <w:top w:val="single" w:sz="4" w:space="0" w:color="8ED973"/>
              <w:left w:val="nil"/>
              <w:bottom w:val="nil"/>
              <w:right w:val="single" w:sz="4" w:space="0" w:color="4EA72E"/>
            </w:tcBorders>
            <w:noWrap/>
            <w:hideMark/>
          </w:tcPr>
          <w:p w14:paraId="6CCEEBF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91CCD35" w14:textId="77777777" w:rsidTr="009A58B0">
        <w:trPr>
          <w:trHeight w:val="290"/>
        </w:trPr>
        <w:tc>
          <w:tcPr>
            <w:tcW w:w="2355" w:type="pct"/>
            <w:tcBorders>
              <w:top w:val="single" w:sz="4" w:space="0" w:color="8ED973"/>
              <w:left w:val="single" w:sz="4" w:space="0" w:color="4EA72E"/>
              <w:bottom w:val="nil"/>
              <w:right w:val="nil"/>
            </w:tcBorders>
            <w:hideMark/>
          </w:tcPr>
          <w:p w14:paraId="6052CE5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školního psychologa k průměrné mzdě</w:t>
            </w:r>
          </w:p>
        </w:tc>
        <w:tc>
          <w:tcPr>
            <w:tcW w:w="666" w:type="pct"/>
            <w:tcBorders>
              <w:top w:val="single" w:sz="4" w:space="0" w:color="8ED973"/>
              <w:left w:val="nil"/>
              <w:bottom w:val="nil"/>
              <w:right w:val="nil"/>
            </w:tcBorders>
            <w:noWrap/>
            <w:hideMark/>
          </w:tcPr>
          <w:p w14:paraId="63C1EDD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21CF1B7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215D787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 ZŠ, SŠ</w:t>
            </w:r>
          </w:p>
        </w:tc>
        <w:tc>
          <w:tcPr>
            <w:tcW w:w="291" w:type="pct"/>
            <w:tcBorders>
              <w:top w:val="single" w:sz="4" w:space="0" w:color="8ED973"/>
              <w:left w:val="nil"/>
              <w:bottom w:val="nil"/>
              <w:right w:val="single" w:sz="4" w:space="0" w:color="4EA72E"/>
            </w:tcBorders>
            <w:noWrap/>
            <w:hideMark/>
          </w:tcPr>
          <w:p w14:paraId="19E2B3E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B46AAA6" w14:textId="77777777" w:rsidTr="009A58B0">
        <w:trPr>
          <w:trHeight w:val="290"/>
        </w:trPr>
        <w:tc>
          <w:tcPr>
            <w:tcW w:w="2355" w:type="pct"/>
            <w:tcBorders>
              <w:top w:val="single" w:sz="4" w:space="0" w:color="8ED973"/>
              <w:left w:val="single" w:sz="4" w:space="0" w:color="4EA72E"/>
              <w:bottom w:val="nil"/>
              <w:right w:val="nil"/>
            </w:tcBorders>
            <w:hideMark/>
          </w:tcPr>
          <w:p w14:paraId="50F942B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speciálního pedagoga k průměrné mzdě</w:t>
            </w:r>
          </w:p>
        </w:tc>
        <w:tc>
          <w:tcPr>
            <w:tcW w:w="666" w:type="pct"/>
            <w:tcBorders>
              <w:top w:val="single" w:sz="4" w:space="0" w:color="8ED973"/>
              <w:left w:val="nil"/>
              <w:bottom w:val="nil"/>
              <w:right w:val="nil"/>
            </w:tcBorders>
            <w:noWrap/>
            <w:hideMark/>
          </w:tcPr>
          <w:p w14:paraId="058260B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75C549A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Další pedagogické profese/specializace</w:t>
            </w:r>
          </w:p>
        </w:tc>
        <w:tc>
          <w:tcPr>
            <w:tcW w:w="557" w:type="pct"/>
            <w:tcBorders>
              <w:top w:val="single" w:sz="4" w:space="0" w:color="8ED973"/>
              <w:left w:val="nil"/>
              <w:bottom w:val="nil"/>
              <w:right w:val="nil"/>
            </w:tcBorders>
            <w:noWrap/>
            <w:hideMark/>
          </w:tcPr>
          <w:p w14:paraId="2CA8AC6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 ZŠ, SŠ</w:t>
            </w:r>
          </w:p>
        </w:tc>
        <w:tc>
          <w:tcPr>
            <w:tcW w:w="291" w:type="pct"/>
            <w:tcBorders>
              <w:top w:val="single" w:sz="4" w:space="0" w:color="8ED973"/>
              <w:left w:val="nil"/>
              <w:bottom w:val="nil"/>
              <w:right w:val="single" w:sz="4" w:space="0" w:color="4EA72E"/>
            </w:tcBorders>
            <w:noWrap/>
            <w:hideMark/>
          </w:tcPr>
          <w:p w14:paraId="5DEB69C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168914F5" w14:textId="77777777" w:rsidTr="009A58B0">
        <w:trPr>
          <w:trHeight w:val="290"/>
        </w:trPr>
        <w:tc>
          <w:tcPr>
            <w:tcW w:w="2355" w:type="pct"/>
            <w:tcBorders>
              <w:top w:val="single" w:sz="4" w:space="0" w:color="8ED973"/>
              <w:left w:val="single" w:sz="4" w:space="0" w:color="4EA72E"/>
              <w:bottom w:val="nil"/>
              <w:right w:val="nil"/>
            </w:tcBorders>
            <w:hideMark/>
          </w:tcPr>
          <w:p w14:paraId="510D7F9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úvazků skupiny nepedagogických zaměstnanců v ZŠ na 10 tis. žáků</w:t>
            </w:r>
          </w:p>
        </w:tc>
        <w:tc>
          <w:tcPr>
            <w:tcW w:w="666" w:type="pct"/>
            <w:tcBorders>
              <w:top w:val="single" w:sz="4" w:space="0" w:color="8ED973"/>
              <w:left w:val="nil"/>
              <w:bottom w:val="nil"/>
              <w:right w:val="nil"/>
            </w:tcBorders>
            <w:noWrap/>
            <w:hideMark/>
          </w:tcPr>
          <w:p w14:paraId="0DE4A32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17545DE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Nepedagogické profese</w:t>
            </w:r>
          </w:p>
        </w:tc>
        <w:tc>
          <w:tcPr>
            <w:tcW w:w="557" w:type="pct"/>
            <w:tcBorders>
              <w:top w:val="single" w:sz="4" w:space="0" w:color="8ED973"/>
              <w:left w:val="nil"/>
              <w:bottom w:val="nil"/>
              <w:right w:val="nil"/>
            </w:tcBorders>
            <w:noWrap/>
            <w:hideMark/>
          </w:tcPr>
          <w:p w14:paraId="1AA2F9A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9503EE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1E6C504C" w14:textId="77777777" w:rsidTr="009A58B0">
        <w:trPr>
          <w:trHeight w:val="290"/>
        </w:trPr>
        <w:tc>
          <w:tcPr>
            <w:tcW w:w="2355" w:type="pct"/>
            <w:tcBorders>
              <w:top w:val="single" w:sz="4" w:space="0" w:color="8ED973"/>
              <w:left w:val="single" w:sz="4" w:space="0" w:color="4EA72E"/>
              <w:bottom w:val="nil"/>
              <w:right w:val="nil"/>
            </w:tcBorders>
            <w:hideMark/>
          </w:tcPr>
          <w:p w14:paraId="23F5BEF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skupiny nepedagogických pracovníků MŠ k průměrné mzdě</w:t>
            </w:r>
          </w:p>
        </w:tc>
        <w:tc>
          <w:tcPr>
            <w:tcW w:w="666" w:type="pct"/>
            <w:tcBorders>
              <w:top w:val="single" w:sz="4" w:space="0" w:color="8ED973"/>
              <w:left w:val="nil"/>
              <w:bottom w:val="nil"/>
              <w:right w:val="nil"/>
            </w:tcBorders>
            <w:noWrap/>
            <w:hideMark/>
          </w:tcPr>
          <w:p w14:paraId="25ABD9E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4CD35A6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Nepedagogické profese</w:t>
            </w:r>
          </w:p>
        </w:tc>
        <w:tc>
          <w:tcPr>
            <w:tcW w:w="557" w:type="pct"/>
            <w:tcBorders>
              <w:top w:val="single" w:sz="4" w:space="0" w:color="8ED973"/>
              <w:left w:val="nil"/>
              <w:bottom w:val="nil"/>
              <w:right w:val="nil"/>
            </w:tcBorders>
            <w:noWrap/>
            <w:hideMark/>
          </w:tcPr>
          <w:p w14:paraId="633FA89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1C34534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34F75DEE" w14:textId="77777777" w:rsidTr="009A58B0">
        <w:trPr>
          <w:trHeight w:val="290"/>
        </w:trPr>
        <w:tc>
          <w:tcPr>
            <w:tcW w:w="2355" w:type="pct"/>
            <w:tcBorders>
              <w:top w:val="single" w:sz="4" w:space="0" w:color="8ED973"/>
              <w:left w:val="single" w:sz="4" w:space="0" w:color="4EA72E"/>
              <w:bottom w:val="nil"/>
              <w:right w:val="nil"/>
            </w:tcBorders>
            <w:hideMark/>
          </w:tcPr>
          <w:p w14:paraId="3C51243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skupiny nepedagogických pracovníků v ZŠ k průměrné mzdě</w:t>
            </w:r>
          </w:p>
        </w:tc>
        <w:tc>
          <w:tcPr>
            <w:tcW w:w="666" w:type="pct"/>
            <w:tcBorders>
              <w:top w:val="single" w:sz="4" w:space="0" w:color="8ED973"/>
              <w:left w:val="nil"/>
              <w:bottom w:val="nil"/>
              <w:right w:val="nil"/>
            </w:tcBorders>
            <w:noWrap/>
            <w:hideMark/>
          </w:tcPr>
          <w:p w14:paraId="0FE80D9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545DC34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Nepedagogické profese</w:t>
            </w:r>
          </w:p>
        </w:tc>
        <w:tc>
          <w:tcPr>
            <w:tcW w:w="557" w:type="pct"/>
            <w:tcBorders>
              <w:top w:val="single" w:sz="4" w:space="0" w:color="8ED973"/>
              <w:left w:val="nil"/>
              <w:bottom w:val="nil"/>
              <w:right w:val="nil"/>
            </w:tcBorders>
            <w:noWrap/>
            <w:hideMark/>
          </w:tcPr>
          <w:p w14:paraId="2C1A475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072F19A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3132979" w14:textId="77777777" w:rsidTr="009A58B0">
        <w:trPr>
          <w:trHeight w:val="290"/>
        </w:trPr>
        <w:tc>
          <w:tcPr>
            <w:tcW w:w="2355" w:type="pct"/>
            <w:tcBorders>
              <w:top w:val="single" w:sz="4" w:space="0" w:color="8ED973"/>
              <w:left w:val="single" w:sz="4" w:space="0" w:color="4EA72E"/>
              <w:bottom w:val="nil"/>
              <w:right w:val="nil"/>
            </w:tcBorders>
            <w:hideMark/>
          </w:tcPr>
          <w:p w14:paraId="10DB338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úvazků skupiny nepedagogických zaměstnanců v SŠ na 10 tis. žáků</w:t>
            </w:r>
          </w:p>
        </w:tc>
        <w:tc>
          <w:tcPr>
            <w:tcW w:w="666" w:type="pct"/>
            <w:tcBorders>
              <w:top w:val="single" w:sz="4" w:space="0" w:color="8ED973"/>
              <w:left w:val="nil"/>
              <w:bottom w:val="nil"/>
              <w:right w:val="nil"/>
            </w:tcBorders>
            <w:noWrap/>
            <w:hideMark/>
          </w:tcPr>
          <w:p w14:paraId="4454812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78EACCF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Nepedagogické profese</w:t>
            </w:r>
          </w:p>
        </w:tc>
        <w:tc>
          <w:tcPr>
            <w:tcW w:w="557" w:type="pct"/>
            <w:tcBorders>
              <w:top w:val="single" w:sz="4" w:space="0" w:color="8ED973"/>
              <w:left w:val="nil"/>
              <w:bottom w:val="nil"/>
              <w:right w:val="nil"/>
            </w:tcBorders>
            <w:noWrap/>
            <w:hideMark/>
          </w:tcPr>
          <w:p w14:paraId="62C5205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3F76FEA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4E3A157" w14:textId="77777777" w:rsidTr="009A58B0">
        <w:trPr>
          <w:trHeight w:val="290"/>
        </w:trPr>
        <w:tc>
          <w:tcPr>
            <w:tcW w:w="2355" w:type="pct"/>
            <w:tcBorders>
              <w:top w:val="single" w:sz="4" w:space="0" w:color="8ED973"/>
              <w:left w:val="single" w:sz="4" w:space="0" w:color="4EA72E"/>
              <w:bottom w:val="nil"/>
              <w:right w:val="nil"/>
            </w:tcBorders>
            <w:hideMark/>
          </w:tcPr>
          <w:p w14:paraId="212AEFA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skupiny nepedagogických pracovníků SŠ k průměrné mzdě</w:t>
            </w:r>
          </w:p>
        </w:tc>
        <w:tc>
          <w:tcPr>
            <w:tcW w:w="666" w:type="pct"/>
            <w:tcBorders>
              <w:top w:val="single" w:sz="4" w:space="0" w:color="8ED973"/>
              <w:left w:val="nil"/>
              <w:bottom w:val="nil"/>
              <w:right w:val="nil"/>
            </w:tcBorders>
            <w:noWrap/>
            <w:hideMark/>
          </w:tcPr>
          <w:p w14:paraId="0737EA2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071F8F6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Nepedagogické profese</w:t>
            </w:r>
          </w:p>
        </w:tc>
        <w:tc>
          <w:tcPr>
            <w:tcW w:w="557" w:type="pct"/>
            <w:tcBorders>
              <w:top w:val="single" w:sz="4" w:space="0" w:color="8ED973"/>
              <w:left w:val="nil"/>
              <w:bottom w:val="nil"/>
              <w:right w:val="nil"/>
            </w:tcBorders>
            <w:noWrap/>
            <w:hideMark/>
          </w:tcPr>
          <w:p w14:paraId="60CD07B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4AE7C4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2CC838C" w14:textId="77777777" w:rsidTr="009A58B0">
        <w:trPr>
          <w:trHeight w:val="290"/>
        </w:trPr>
        <w:tc>
          <w:tcPr>
            <w:tcW w:w="2355" w:type="pct"/>
            <w:tcBorders>
              <w:top w:val="single" w:sz="4" w:space="0" w:color="8ED973"/>
              <w:left w:val="single" w:sz="4" w:space="0" w:color="4EA72E"/>
              <w:bottom w:val="nil"/>
              <w:right w:val="nil"/>
            </w:tcBorders>
            <w:hideMark/>
          </w:tcPr>
          <w:p w14:paraId="4BB15AC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žáků na učitele v ZŠ běžných zřizovaných obcí</w:t>
            </w:r>
          </w:p>
        </w:tc>
        <w:tc>
          <w:tcPr>
            <w:tcW w:w="666" w:type="pct"/>
            <w:tcBorders>
              <w:top w:val="single" w:sz="4" w:space="0" w:color="8ED973"/>
              <w:left w:val="nil"/>
              <w:bottom w:val="nil"/>
              <w:right w:val="nil"/>
            </w:tcBorders>
            <w:noWrap/>
            <w:hideMark/>
          </w:tcPr>
          <w:p w14:paraId="6DF350E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2A7400B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3F4B5E7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974D99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0618DB84" w14:textId="77777777" w:rsidTr="009A58B0">
        <w:trPr>
          <w:trHeight w:val="290"/>
        </w:trPr>
        <w:tc>
          <w:tcPr>
            <w:tcW w:w="2355" w:type="pct"/>
            <w:tcBorders>
              <w:top w:val="single" w:sz="4" w:space="0" w:color="8ED973"/>
              <w:left w:val="single" w:sz="4" w:space="0" w:color="4EA72E"/>
              <w:bottom w:val="nil"/>
              <w:right w:val="nil"/>
            </w:tcBorders>
            <w:hideMark/>
          </w:tcPr>
          <w:p w14:paraId="1ADF57D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dětí na učitele v MŠ běžných zřizovaných obcí</w:t>
            </w:r>
          </w:p>
        </w:tc>
        <w:tc>
          <w:tcPr>
            <w:tcW w:w="666" w:type="pct"/>
            <w:tcBorders>
              <w:top w:val="single" w:sz="4" w:space="0" w:color="8ED973"/>
              <w:left w:val="nil"/>
              <w:bottom w:val="nil"/>
              <w:right w:val="nil"/>
            </w:tcBorders>
            <w:noWrap/>
            <w:hideMark/>
          </w:tcPr>
          <w:p w14:paraId="0539C5F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146CA66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2738285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3071500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1940C94" w14:textId="77777777" w:rsidTr="009A58B0">
        <w:trPr>
          <w:trHeight w:val="290"/>
        </w:trPr>
        <w:tc>
          <w:tcPr>
            <w:tcW w:w="2355" w:type="pct"/>
            <w:tcBorders>
              <w:top w:val="single" w:sz="4" w:space="0" w:color="8ED973"/>
              <w:left w:val="single" w:sz="4" w:space="0" w:color="4EA72E"/>
              <w:bottom w:val="nil"/>
              <w:right w:val="nil"/>
            </w:tcBorders>
            <w:hideMark/>
          </w:tcPr>
          <w:p w14:paraId="02AA13C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lastRenderedPageBreak/>
              <w:t>Podíl nekvalifikovaných učitelů MŠ</w:t>
            </w:r>
          </w:p>
        </w:tc>
        <w:tc>
          <w:tcPr>
            <w:tcW w:w="666" w:type="pct"/>
            <w:tcBorders>
              <w:top w:val="single" w:sz="4" w:space="0" w:color="8ED973"/>
              <w:left w:val="nil"/>
              <w:bottom w:val="nil"/>
              <w:right w:val="nil"/>
            </w:tcBorders>
            <w:noWrap/>
            <w:hideMark/>
          </w:tcPr>
          <w:p w14:paraId="51C63F7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3D7DA79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1892A01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4C14B5E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728791BB" w14:textId="77777777" w:rsidTr="009A58B0">
        <w:trPr>
          <w:trHeight w:val="290"/>
        </w:trPr>
        <w:tc>
          <w:tcPr>
            <w:tcW w:w="2355" w:type="pct"/>
            <w:tcBorders>
              <w:top w:val="single" w:sz="4" w:space="0" w:color="8ED973"/>
              <w:left w:val="single" w:sz="4" w:space="0" w:color="4EA72E"/>
              <w:bottom w:val="nil"/>
              <w:right w:val="nil"/>
            </w:tcBorders>
            <w:hideMark/>
          </w:tcPr>
          <w:p w14:paraId="37B36E8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žáků na učitele v SŠ běžných zřizovaných krajem</w:t>
            </w:r>
          </w:p>
        </w:tc>
        <w:tc>
          <w:tcPr>
            <w:tcW w:w="666" w:type="pct"/>
            <w:tcBorders>
              <w:top w:val="single" w:sz="4" w:space="0" w:color="8ED973"/>
              <w:left w:val="nil"/>
              <w:bottom w:val="nil"/>
              <w:right w:val="nil"/>
            </w:tcBorders>
            <w:noWrap/>
            <w:hideMark/>
          </w:tcPr>
          <w:p w14:paraId="79A4B01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3E04949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50C6034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5779B0F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3912CFDF" w14:textId="77777777" w:rsidTr="009A58B0">
        <w:trPr>
          <w:trHeight w:val="290"/>
        </w:trPr>
        <w:tc>
          <w:tcPr>
            <w:tcW w:w="2355" w:type="pct"/>
            <w:tcBorders>
              <w:top w:val="single" w:sz="4" w:space="0" w:color="8ED973"/>
              <w:left w:val="single" w:sz="4" w:space="0" w:color="4EA72E"/>
              <w:bottom w:val="nil"/>
              <w:right w:val="nil"/>
            </w:tcBorders>
            <w:hideMark/>
          </w:tcPr>
          <w:p w14:paraId="55EE992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učitele ve veřejné MŠ k průměrné mzdě</w:t>
            </w:r>
          </w:p>
        </w:tc>
        <w:tc>
          <w:tcPr>
            <w:tcW w:w="666" w:type="pct"/>
            <w:tcBorders>
              <w:top w:val="single" w:sz="4" w:space="0" w:color="8ED973"/>
              <w:left w:val="nil"/>
              <w:bottom w:val="nil"/>
              <w:right w:val="nil"/>
            </w:tcBorders>
            <w:noWrap/>
            <w:hideMark/>
          </w:tcPr>
          <w:p w14:paraId="3D75A44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652B824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51325CE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1423B63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7162751" w14:textId="77777777" w:rsidTr="009A58B0">
        <w:trPr>
          <w:trHeight w:val="290"/>
        </w:trPr>
        <w:tc>
          <w:tcPr>
            <w:tcW w:w="2355" w:type="pct"/>
            <w:tcBorders>
              <w:top w:val="single" w:sz="4" w:space="0" w:color="8ED973"/>
              <w:left w:val="single" w:sz="4" w:space="0" w:color="4EA72E"/>
              <w:bottom w:val="nil"/>
              <w:right w:val="nil"/>
            </w:tcBorders>
            <w:hideMark/>
          </w:tcPr>
          <w:p w14:paraId="21BD811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učitele ve veřejné ZŠ k průměrné mzdě</w:t>
            </w:r>
          </w:p>
        </w:tc>
        <w:tc>
          <w:tcPr>
            <w:tcW w:w="666" w:type="pct"/>
            <w:tcBorders>
              <w:top w:val="single" w:sz="4" w:space="0" w:color="8ED973"/>
              <w:left w:val="nil"/>
              <w:bottom w:val="nil"/>
              <w:right w:val="nil"/>
            </w:tcBorders>
            <w:noWrap/>
            <w:hideMark/>
          </w:tcPr>
          <w:p w14:paraId="7E0D47F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5E8E799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1ADB6BC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EC3580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1EFA32D5" w14:textId="77777777" w:rsidTr="009A58B0">
        <w:trPr>
          <w:trHeight w:val="290"/>
        </w:trPr>
        <w:tc>
          <w:tcPr>
            <w:tcW w:w="2355" w:type="pct"/>
            <w:tcBorders>
              <w:top w:val="single" w:sz="4" w:space="0" w:color="8ED973"/>
              <w:left w:val="single" w:sz="4" w:space="0" w:color="4EA72E"/>
              <w:bottom w:val="nil"/>
              <w:right w:val="nil"/>
            </w:tcBorders>
            <w:hideMark/>
          </w:tcPr>
          <w:p w14:paraId="07EF2F9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plat učitele ve veřejné SŠ k průměrné mzdě</w:t>
            </w:r>
          </w:p>
        </w:tc>
        <w:tc>
          <w:tcPr>
            <w:tcW w:w="666" w:type="pct"/>
            <w:tcBorders>
              <w:top w:val="single" w:sz="4" w:space="0" w:color="8ED973"/>
              <w:left w:val="nil"/>
              <w:bottom w:val="nil"/>
              <w:right w:val="nil"/>
            </w:tcBorders>
            <w:noWrap/>
            <w:hideMark/>
          </w:tcPr>
          <w:p w14:paraId="7E023DB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Pracovníci ve školství</w:t>
            </w:r>
          </w:p>
        </w:tc>
        <w:tc>
          <w:tcPr>
            <w:tcW w:w="1132" w:type="pct"/>
            <w:tcBorders>
              <w:top w:val="single" w:sz="4" w:space="0" w:color="8ED973"/>
              <w:left w:val="nil"/>
              <w:bottom w:val="nil"/>
              <w:right w:val="nil"/>
            </w:tcBorders>
            <w:noWrap/>
            <w:hideMark/>
          </w:tcPr>
          <w:p w14:paraId="3705E78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Učitelé</w:t>
            </w:r>
          </w:p>
        </w:tc>
        <w:tc>
          <w:tcPr>
            <w:tcW w:w="557" w:type="pct"/>
            <w:tcBorders>
              <w:top w:val="single" w:sz="4" w:space="0" w:color="8ED973"/>
              <w:left w:val="nil"/>
              <w:bottom w:val="nil"/>
              <w:right w:val="nil"/>
            </w:tcBorders>
            <w:noWrap/>
            <w:hideMark/>
          </w:tcPr>
          <w:p w14:paraId="7890D8D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7DCDC3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16B73279" w14:textId="77777777" w:rsidTr="009A58B0">
        <w:trPr>
          <w:trHeight w:val="290"/>
        </w:trPr>
        <w:tc>
          <w:tcPr>
            <w:tcW w:w="2355" w:type="pct"/>
            <w:tcBorders>
              <w:top w:val="single" w:sz="4" w:space="0" w:color="8ED973"/>
              <w:left w:val="single" w:sz="4" w:space="0" w:color="4EA72E"/>
              <w:bottom w:val="nil"/>
              <w:right w:val="nil"/>
            </w:tcBorders>
            <w:hideMark/>
          </w:tcPr>
          <w:p w14:paraId="7F7CD5F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 a žáků vzdělávajících se v neveřejných školách</w:t>
            </w:r>
          </w:p>
        </w:tc>
        <w:tc>
          <w:tcPr>
            <w:tcW w:w="666" w:type="pct"/>
            <w:tcBorders>
              <w:top w:val="single" w:sz="4" w:space="0" w:color="8ED973"/>
              <w:left w:val="nil"/>
              <w:bottom w:val="nil"/>
              <w:right w:val="nil"/>
            </w:tcBorders>
            <w:noWrap/>
            <w:hideMark/>
          </w:tcPr>
          <w:p w14:paraId="7329549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Školy a zřizovatelé</w:t>
            </w:r>
          </w:p>
        </w:tc>
        <w:tc>
          <w:tcPr>
            <w:tcW w:w="1132" w:type="pct"/>
            <w:tcBorders>
              <w:top w:val="single" w:sz="4" w:space="0" w:color="8ED973"/>
              <w:left w:val="nil"/>
              <w:bottom w:val="nil"/>
              <w:right w:val="nil"/>
            </w:tcBorders>
            <w:noWrap/>
            <w:hideMark/>
          </w:tcPr>
          <w:p w14:paraId="139F52C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Zřizovatelé</w:t>
            </w:r>
          </w:p>
        </w:tc>
        <w:tc>
          <w:tcPr>
            <w:tcW w:w="557" w:type="pct"/>
            <w:tcBorders>
              <w:top w:val="single" w:sz="4" w:space="0" w:color="8ED973"/>
              <w:left w:val="nil"/>
              <w:bottom w:val="nil"/>
              <w:right w:val="nil"/>
            </w:tcBorders>
            <w:noWrap/>
            <w:hideMark/>
          </w:tcPr>
          <w:p w14:paraId="6236F34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 ZŠ, SŠ</w:t>
            </w:r>
          </w:p>
        </w:tc>
        <w:tc>
          <w:tcPr>
            <w:tcW w:w="291" w:type="pct"/>
            <w:tcBorders>
              <w:top w:val="single" w:sz="4" w:space="0" w:color="8ED973"/>
              <w:left w:val="nil"/>
              <w:bottom w:val="nil"/>
              <w:right w:val="single" w:sz="4" w:space="0" w:color="4EA72E"/>
            </w:tcBorders>
            <w:noWrap/>
            <w:hideMark/>
          </w:tcPr>
          <w:p w14:paraId="7120E9D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3B802199" w14:textId="77777777" w:rsidTr="009A58B0">
        <w:trPr>
          <w:trHeight w:val="290"/>
        </w:trPr>
        <w:tc>
          <w:tcPr>
            <w:tcW w:w="2355" w:type="pct"/>
            <w:tcBorders>
              <w:top w:val="single" w:sz="4" w:space="0" w:color="8ED973"/>
              <w:left w:val="single" w:sz="4" w:space="0" w:color="4EA72E"/>
              <w:bottom w:val="nil"/>
              <w:right w:val="nil"/>
            </w:tcBorders>
            <w:hideMark/>
          </w:tcPr>
          <w:p w14:paraId="0D18185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 vzdělávajících se v neveřejných MŠ</w:t>
            </w:r>
          </w:p>
        </w:tc>
        <w:tc>
          <w:tcPr>
            <w:tcW w:w="666" w:type="pct"/>
            <w:tcBorders>
              <w:top w:val="single" w:sz="4" w:space="0" w:color="8ED973"/>
              <w:left w:val="nil"/>
              <w:bottom w:val="nil"/>
              <w:right w:val="nil"/>
            </w:tcBorders>
            <w:noWrap/>
            <w:hideMark/>
          </w:tcPr>
          <w:p w14:paraId="70696C0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Školy a zřizovatelé</w:t>
            </w:r>
          </w:p>
        </w:tc>
        <w:tc>
          <w:tcPr>
            <w:tcW w:w="1132" w:type="pct"/>
            <w:tcBorders>
              <w:top w:val="single" w:sz="4" w:space="0" w:color="8ED973"/>
              <w:left w:val="nil"/>
              <w:bottom w:val="nil"/>
              <w:right w:val="nil"/>
            </w:tcBorders>
            <w:noWrap/>
            <w:hideMark/>
          </w:tcPr>
          <w:p w14:paraId="176361B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Zřizovatelé</w:t>
            </w:r>
          </w:p>
        </w:tc>
        <w:tc>
          <w:tcPr>
            <w:tcW w:w="557" w:type="pct"/>
            <w:tcBorders>
              <w:top w:val="single" w:sz="4" w:space="0" w:color="8ED973"/>
              <w:left w:val="nil"/>
              <w:bottom w:val="nil"/>
              <w:right w:val="nil"/>
            </w:tcBorders>
            <w:noWrap/>
            <w:hideMark/>
          </w:tcPr>
          <w:p w14:paraId="5AA8F42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1EABAFB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08D46687" w14:textId="77777777" w:rsidTr="009A58B0">
        <w:trPr>
          <w:trHeight w:val="290"/>
        </w:trPr>
        <w:tc>
          <w:tcPr>
            <w:tcW w:w="2355" w:type="pct"/>
            <w:tcBorders>
              <w:top w:val="single" w:sz="4" w:space="0" w:color="8ED973"/>
              <w:left w:val="single" w:sz="4" w:space="0" w:color="4EA72E"/>
              <w:bottom w:val="nil"/>
              <w:right w:val="nil"/>
            </w:tcBorders>
            <w:hideMark/>
          </w:tcPr>
          <w:p w14:paraId="3D95AD9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vzdělávajících se v neveřejných ZŠ</w:t>
            </w:r>
          </w:p>
        </w:tc>
        <w:tc>
          <w:tcPr>
            <w:tcW w:w="666" w:type="pct"/>
            <w:tcBorders>
              <w:top w:val="single" w:sz="4" w:space="0" w:color="8ED973"/>
              <w:left w:val="nil"/>
              <w:bottom w:val="nil"/>
              <w:right w:val="nil"/>
            </w:tcBorders>
            <w:noWrap/>
            <w:hideMark/>
          </w:tcPr>
          <w:p w14:paraId="32307C5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Školy a zřizovatelé</w:t>
            </w:r>
          </w:p>
        </w:tc>
        <w:tc>
          <w:tcPr>
            <w:tcW w:w="1132" w:type="pct"/>
            <w:tcBorders>
              <w:top w:val="single" w:sz="4" w:space="0" w:color="8ED973"/>
              <w:left w:val="nil"/>
              <w:bottom w:val="nil"/>
              <w:right w:val="nil"/>
            </w:tcBorders>
            <w:noWrap/>
            <w:hideMark/>
          </w:tcPr>
          <w:p w14:paraId="091F590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Zřizovatelé</w:t>
            </w:r>
          </w:p>
        </w:tc>
        <w:tc>
          <w:tcPr>
            <w:tcW w:w="557" w:type="pct"/>
            <w:tcBorders>
              <w:top w:val="single" w:sz="4" w:space="0" w:color="8ED973"/>
              <w:left w:val="nil"/>
              <w:bottom w:val="nil"/>
              <w:right w:val="nil"/>
            </w:tcBorders>
            <w:noWrap/>
            <w:hideMark/>
          </w:tcPr>
          <w:p w14:paraId="12A6E3D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2780875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1E8B5932" w14:textId="77777777" w:rsidTr="009A58B0">
        <w:trPr>
          <w:trHeight w:val="290"/>
        </w:trPr>
        <w:tc>
          <w:tcPr>
            <w:tcW w:w="2355" w:type="pct"/>
            <w:tcBorders>
              <w:top w:val="single" w:sz="4" w:space="0" w:color="8ED973"/>
              <w:left w:val="single" w:sz="4" w:space="0" w:color="4EA72E"/>
              <w:bottom w:val="nil"/>
              <w:right w:val="nil"/>
            </w:tcBorders>
            <w:hideMark/>
          </w:tcPr>
          <w:p w14:paraId="576E07A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vzdělávajících se v neveřejných SŠ</w:t>
            </w:r>
          </w:p>
        </w:tc>
        <w:tc>
          <w:tcPr>
            <w:tcW w:w="666" w:type="pct"/>
            <w:tcBorders>
              <w:top w:val="single" w:sz="4" w:space="0" w:color="8ED973"/>
              <w:left w:val="nil"/>
              <w:bottom w:val="nil"/>
              <w:right w:val="nil"/>
            </w:tcBorders>
            <w:noWrap/>
            <w:hideMark/>
          </w:tcPr>
          <w:p w14:paraId="332998B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Školy a zřizovatelé</w:t>
            </w:r>
          </w:p>
        </w:tc>
        <w:tc>
          <w:tcPr>
            <w:tcW w:w="1132" w:type="pct"/>
            <w:tcBorders>
              <w:top w:val="single" w:sz="4" w:space="0" w:color="8ED973"/>
              <w:left w:val="nil"/>
              <w:bottom w:val="nil"/>
              <w:right w:val="nil"/>
            </w:tcBorders>
            <w:noWrap/>
            <w:hideMark/>
          </w:tcPr>
          <w:p w14:paraId="5DD4A40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Zřizovatelé</w:t>
            </w:r>
          </w:p>
        </w:tc>
        <w:tc>
          <w:tcPr>
            <w:tcW w:w="557" w:type="pct"/>
            <w:tcBorders>
              <w:top w:val="single" w:sz="4" w:space="0" w:color="8ED973"/>
              <w:left w:val="nil"/>
              <w:bottom w:val="nil"/>
              <w:right w:val="nil"/>
            </w:tcBorders>
            <w:noWrap/>
            <w:hideMark/>
          </w:tcPr>
          <w:p w14:paraId="41A4C06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876544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0BC575DA" w14:textId="77777777" w:rsidTr="009A58B0">
        <w:trPr>
          <w:trHeight w:val="290"/>
        </w:trPr>
        <w:tc>
          <w:tcPr>
            <w:tcW w:w="2355" w:type="pct"/>
            <w:tcBorders>
              <w:top w:val="single" w:sz="4" w:space="0" w:color="8ED973"/>
              <w:left w:val="single" w:sz="4" w:space="0" w:color="4EA72E"/>
              <w:bottom w:val="nil"/>
              <w:right w:val="nil"/>
            </w:tcBorders>
            <w:hideMark/>
          </w:tcPr>
          <w:p w14:paraId="62E9983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vzdělávajících se v malotřídních ZŠ</w:t>
            </w:r>
          </w:p>
        </w:tc>
        <w:tc>
          <w:tcPr>
            <w:tcW w:w="666" w:type="pct"/>
            <w:tcBorders>
              <w:top w:val="single" w:sz="4" w:space="0" w:color="8ED973"/>
              <w:left w:val="nil"/>
              <w:bottom w:val="nil"/>
              <w:right w:val="nil"/>
            </w:tcBorders>
            <w:noWrap/>
            <w:hideMark/>
          </w:tcPr>
          <w:p w14:paraId="368294D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Školy a zřizovatelé</w:t>
            </w:r>
          </w:p>
        </w:tc>
        <w:tc>
          <w:tcPr>
            <w:tcW w:w="1132" w:type="pct"/>
            <w:tcBorders>
              <w:top w:val="single" w:sz="4" w:space="0" w:color="8ED973"/>
              <w:left w:val="nil"/>
              <w:bottom w:val="nil"/>
              <w:right w:val="nil"/>
            </w:tcBorders>
            <w:noWrap/>
            <w:hideMark/>
          </w:tcPr>
          <w:p w14:paraId="4A958BF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Zřizovatelé</w:t>
            </w:r>
          </w:p>
        </w:tc>
        <w:tc>
          <w:tcPr>
            <w:tcW w:w="557" w:type="pct"/>
            <w:tcBorders>
              <w:top w:val="single" w:sz="4" w:space="0" w:color="8ED973"/>
              <w:left w:val="nil"/>
              <w:bottom w:val="nil"/>
              <w:right w:val="nil"/>
            </w:tcBorders>
            <w:noWrap/>
            <w:hideMark/>
          </w:tcPr>
          <w:p w14:paraId="66269C7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24CEA4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05A1DD86" w14:textId="77777777" w:rsidTr="009A58B0">
        <w:trPr>
          <w:trHeight w:val="290"/>
        </w:trPr>
        <w:tc>
          <w:tcPr>
            <w:tcW w:w="2355" w:type="pct"/>
            <w:tcBorders>
              <w:top w:val="single" w:sz="4" w:space="0" w:color="8ED973"/>
              <w:left w:val="single" w:sz="4" w:space="0" w:color="4EA72E"/>
              <w:bottom w:val="nil"/>
              <w:right w:val="nil"/>
            </w:tcBorders>
            <w:hideMark/>
          </w:tcPr>
          <w:p w14:paraId="3146D2A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veřejných základních škol do 50 žáků včetně</w:t>
            </w:r>
          </w:p>
        </w:tc>
        <w:tc>
          <w:tcPr>
            <w:tcW w:w="666" w:type="pct"/>
            <w:tcBorders>
              <w:top w:val="single" w:sz="4" w:space="0" w:color="8ED973"/>
              <w:left w:val="nil"/>
              <w:bottom w:val="nil"/>
              <w:right w:val="nil"/>
            </w:tcBorders>
            <w:noWrap/>
            <w:hideMark/>
          </w:tcPr>
          <w:p w14:paraId="050B71A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Školy a zřizovatelé</w:t>
            </w:r>
          </w:p>
        </w:tc>
        <w:tc>
          <w:tcPr>
            <w:tcW w:w="1132" w:type="pct"/>
            <w:tcBorders>
              <w:top w:val="single" w:sz="4" w:space="0" w:color="8ED973"/>
              <w:left w:val="nil"/>
              <w:bottom w:val="nil"/>
              <w:right w:val="nil"/>
            </w:tcBorders>
            <w:noWrap/>
            <w:hideMark/>
          </w:tcPr>
          <w:p w14:paraId="23142DF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Zřizovatelé</w:t>
            </w:r>
          </w:p>
        </w:tc>
        <w:tc>
          <w:tcPr>
            <w:tcW w:w="557" w:type="pct"/>
            <w:tcBorders>
              <w:top w:val="single" w:sz="4" w:space="0" w:color="8ED973"/>
              <w:left w:val="nil"/>
              <w:bottom w:val="nil"/>
              <w:right w:val="nil"/>
            </w:tcBorders>
            <w:noWrap/>
            <w:hideMark/>
          </w:tcPr>
          <w:p w14:paraId="583376A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95CBBE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62576601" w14:textId="77777777" w:rsidTr="009A58B0">
        <w:trPr>
          <w:trHeight w:val="520"/>
        </w:trPr>
        <w:tc>
          <w:tcPr>
            <w:tcW w:w="2355" w:type="pct"/>
            <w:tcBorders>
              <w:top w:val="single" w:sz="4" w:space="0" w:color="8ED973"/>
              <w:left w:val="single" w:sz="4" w:space="0" w:color="4EA72E"/>
              <w:bottom w:val="nil"/>
              <w:right w:val="nil"/>
            </w:tcBorders>
            <w:hideMark/>
          </w:tcPr>
          <w:p w14:paraId="2DBC052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absolventů středního vzdělávání s maturitní zkouškou v negymnaziálních oborech v denní formě vzdělávání</w:t>
            </w:r>
          </w:p>
        </w:tc>
        <w:tc>
          <w:tcPr>
            <w:tcW w:w="666" w:type="pct"/>
            <w:tcBorders>
              <w:top w:val="single" w:sz="4" w:space="0" w:color="8ED973"/>
              <w:left w:val="nil"/>
              <w:bottom w:val="nil"/>
              <w:right w:val="nil"/>
            </w:tcBorders>
            <w:noWrap/>
            <w:hideMark/>
          </w:tcPr>
          <w:p w14:paraId="211F11E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3FFE5EC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Absolventi</w:t>
            </w:r>
          </w:p>
        </w:tc>
        <w:tc>
          <w:tcPr>
            <w:tcW w:w="557" w:type="pct"/>
            <w:tcBorders>
              <w:top w:val="single" w:sz="4" w:space="0" w:color="8ED973"/>
              <w:left w:val="nil"/>
              <w:bottom w:val="nil"/>
              <w:right w:val="nil"/>
            </w:tcBorders>
            <w:noWrap/>
            <w:hideMark/>
          </w:tcPr>
          <w:p w14:paraId="1C86B0F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763ECD5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33FE792F" w14:textId="77777777" w:rsidTr="009A58B0">
        <w:trPr>
          <w:trHeight w:val="520"/>
        </w:trPr>
        <w:tc>
          <w:tcPr>
            <w:tcW w:w="2355" w:type="pct"/>
            <w:tcBorders>
              <w:top w:val="single" w:sz="4" w:space="0" w:color="8ED973"/>
              <w:left w:val="single" w:sz="4" w:space="0" w:color="4EA72E"/>
              <w:bottom w:val="nil"/>
              <w:right w:val="nil"/>
            </w:tcBorders>
            <w:hideMark/>
          </w:tcPr>
          <w:p w14:paraId="4DF11C9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absolventů středního vzdělávání s maturitní zkouškou v gymnaziálních oborech v denní formě vzdělávání</w:t>
            </w:r>
          </w:p>
        </w:tc>
        <w:tc>
          <w:tcPr>
            <w:tcW w:w="666" w:type="pct"/>
            <w:tcBorders>
              <w:top w:val="single" w:sz="4" w:space="0" w:color="8ED973"/>
              <w:left w:val="nil"/>
              <w:bottom w:val="nil"/>
              <w:right w:val="nil"/>
            </w:tcBorders>
            <w:noWrap/>
            <w:hideMark/>
          </w:tcPr>
          <w:p w14:paraId="35E299B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513082B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Absolventi</w:t>
            </w:r>
          </w:p>
        </w:tc>
        <w:tc>
          <w:tcPr>
            <w:tcW w:w="557" w:type="pct"/>
            <w:tcBorders>
              <w:top w:val="single" w:sz="4" w:space="0" w:color="8ED973"/>
              <w:left w:val="nil"/>
              <w:bottom w:val="nil"/>
              <w:right w:val="nil"/>
            </w:tcBorders>
            <w:noWrap/>
            <w:hideMark/>
          </w:tcPr>
          <w:p w14:paraId="4D13498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77F959F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659DFF98" w14:textId="77777777" w:rsidTr="009A58B0">
        <w:trPr>
          <w:trHeight w:val="290"/>
        </w:trPr>
        <w:tc>
          <w:tcPr>
            <w:tcW w:w="2355" w:type="pct"/>
            <w:tcBorders>
              <w:top w:val="single" w:sz="4" w:space="0" w:color="8ED973"/>
              <w:left w:val="single" w:sz="4" w:space="0" w:color="4EA72E"/>
              <w:bottom w:val="nil"/>
              <w:right w:val="nil"/>
            </w:tcBorders>
            <w:hideMark/>
          </w:tcPr>
          <w:p w14:paraId="447BC92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absolventů středního vzdělávání s výučním listem v denní formě vzdělávání</w:t>
            </w:r>
          </w:p>
        </w:tc>
        <w:tc>
          <w:tcPr>
            <w:tcW w:w="666" w:type="pct"/>
            <w:tcBorders>
              <w:top w:val="single" w:sz="4" w:space="0" w:color="8ED973"/>
              <w:left w:val="nil"/>
              <w:bottom w:val="nil"/>
              <w:right w:val="nil"/>
            </w:tcBorders>
            <w:noWrap/>
            <w:hideMark/>
          </w:tcPr>
          <w:p w14:paraId="5BDFD4A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34EDC01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Absolventi</w:t>
            </w:r>
          </w:p>
        </w:tc>
        <w:tc>
          <w:tcPr>
            <w:tcW w:w="557" w:type="pct"/>
            <w:tcBorders>
              <w:top w:val="single" w:sz="4" w:space="0" w:color="8ED973"/>
              <w:left w:val="nil"/>
              <w:bottom w:val="nil"/>
              <w:right w:val="nil"/>
            </w:tcBorders>
            <w:noWrap/>
            <w:hideMark/>
          </w:tcPr>
          <w:p w14:paraId="1FEF1FC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33A1EA1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460A52FE" w14:textId="77777777" w:rsidTr="009A58B0">
        <w:trPr>
          <w:trHeight w:val="520"/>
        </w:trPr>
        <w:tc>
          <w:tcPr>
            <w:tcW w:w="2355" w:type="pct"/>
            <w:tcBorders>
              <w:top w:val="single" w:sz="4" w:space="0" w:color="8ED973"/>
              <w:left w:val="single" w:sz="4" w:space="0" w:color="4EA72E"/>
              <w:bottom w:val="nil"/>
              <w:right w:val="nil"/>
            </w:tcBorders>
            <w:hideMark/>
          </w:tcPr>
          <w:p w14:paraId="79634D7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nově přijatých žáků do 1. ročníku středního vzdělávání s maturitní zkouškou v negymnaziálních oborech v denní formě vzdělávání</w:t>
            </w:r>
          </w:p>
        </w:tc>
        <w:tc>
          <w:tcPr>
            <w:tcW w:w="666" w:type="pct"/>
            <w:tcBorders>
              <w:top w:val="single" w:sz="4" w:space="0" w:color="8ED973"/>
              <w:left w:val="nil"/>
              <w:bottom w:val="nil"/>
              <w:right w:val="nil"/>
            </w:tcBorders>
            <w:noWrap/>
            <w:hideMark/>
          </w:tcPr>
          <w:p w14:paraId="71A0F4D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46DD2DE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Přijímání ke vzdělávání</w:t>
            </w:r>
          </w:p>
        </w:tc>
        <w:tc>
          <w:tcPr>
            <w:tcW w:w="557" w:type="pct"/>
            <w:tcBorders>
              <w:top w:val="single" w:sz="4" w:space="0" w:color="8ED973"/>
              <w:left w:val="nil"/>
              <w:bottom w:val="nil"/>
              <w:right w:val="nil"/>
            </w:tcBorders>
            <w:noWrap/>
            <w:hideMark/>
          </w:tcPr>
          <w:p w14:paraId="2E35C18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5F4DC84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4E78424B" w14:textId="77777777" w:rsidTr="009A58B0">
        <w:trPr>
          <w:trHeight w:val="520"/>
        </w:trPr>
        <w:tc>
          <w:tcPr>
            <w:tcW w:w="2355" w:type="pct"/>
            <w:tcBorders>
              <w:top w:val="single" w:sz="4" w:space="0" w:color="8ED973"/>
              <w:left w:val="single" w:sz="4" w:space="0" w:color="4EA72E"/>
              <w:bottom w:val="nil"/>
              <w:right w:val="nil"/>
            </w:tcBorders>
            <w:hideMark/>
          </w:tcPr>
          <w:p w14:paraId="151EC16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nově přijatých žáků do 1. ročníku středního vzdělávání s maturitní zkouškou v gymnaziálních oborech v denní formě vzdělávání</w:t>
            </w:r>
          </w:p>
        </w:tc>
        <w:tc>
          <w:tcPr>
            <w:tcW w:w="666" w:type="pct"/>
            <w:tcBorders>
              <w:top w:val="single" w:sz="4" w:space="0" w:color="8ED973"/>
              <w:left w:val="nil"/>
              <w:bottom w:val="nil"/>
              <w:right w:val="nil"/>
            </w:tcBorders>
            <w:noWrap/>
            <w:hideMark/>
          </w:tcPr>
          <w:p w14:paraId="57ED575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473B974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Přijímání ke vzdělávání</w:t>
            </w:r>
          </w:p>
        </w:tc>
        <w:tc>
          <w:tcPr>
            <w:tcW w:w="557" w:type="pct"/>
            <w:tcBorders>
              <w:top w:val="single" w:sz="4" w:space="0" w:color="8ED973"/>
              <w:left w:val="nil"/>
              <w:bottom w:val="nil"/>
              <w:right w:val="nil"/>
            </w:tcBorders>
            <w:noWrap/>
            <w:hideMark/>
          </w:tcPr>
          <w:p w14:paraId="5427DC0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1831EDB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6BAEFBE6" w14:textId="77777777" w:rsidTr="009A58B0">
        <w:trPr>
          <w:trHeight w:val="520"/>
        </w:trPr>
        <w:tc>
          <w:tcPr>
            <w:tcW w:w="2355" w:type="pct"/>
            <w:tcBorders>
              <w:top w:val="single" w:sz="4" w:space="0" w:color="8ED973"/>
              <w:left w:val="single" w:sz="4" w:space="0" w:color="4EA72E"/>
              <w:bottom w:val="nil"/>
              <w:right w:val="nil"/>
            </w:tcBorders>
            <w:hideMark/>
          </w:tcPr>
          <w:p w14:paraId="76940A6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čerstvých absolventů s výučním listem, kteří pokračují do nástavbového studia v denní formě studia</w:t>
            </w:r>
          </w:p>
        </w:tc>
        <w:tc>
          <w:tcPr>
            <w:tcW w:w="666" w:type="pct"/>
            <w:tcBorders>
              <w:top w:val="single" w:sz="4" w:space="0" w:color="8ED973"/>
              <w:left w:val="nil"/>
              <w:bottom w:val="nil"/>
              <w:right w:val="nil"/>
            </w:tcBorders>
            <w:noWrap/>
            <w:hideMark/>
          </w:tcPr>
          <w:p w14:paraId="2860762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17A264F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Přijímání ke vzdělávání</w:t>
            </w:r>
          </w:p>
        </w:tc>
        <w:tc>
          <w:tcPr>
            <w:tcW w:w="557" w:type="pct"/>
            <w:tcBorders>
              <w:top w:val="single" w:sz="4" w:space="0" w:color="8ED973"/>
              <w:left w:val="nil"/>
              <w:bottom w:val="nil"/>
              <w:right w:val="nil"/>
            </w:tcBorders>
            <w:noWrap/>
            <w:hideMark/>
          </w:tcPr>
          <w:p w14:paraId="4C07BED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031A5B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65D5AC23" w14:textId="77777777" w:rsidTr="009A58B0">
        <w:trPr>
          <w:trHeight w:val="520"/>
        </w:trPr>
        <w:tc>
          <w:tcPr>
            <w:tcW w:w="2355" w:type="pct"/>
            <w:tcBorders>
              <w:top w:val="single" w:sz="4" w:space="0" w:color="8ED973"/>
              <w:left w:val="single" w:sz="4" w:space="0" w:color="4EA72E"/>
              <w:bottom w:val="nil"/>
              <w:right w:val="nil"/>
            </w:tcBorders>
            <w:hideMark/>
          </w:tcPr>
          <w:p w14:paraId="33029D0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nově přijatých žáků do 1. ročníku středního vzdělávání s výučním listem v</w:t>
            </w:r>
            <w:r>
              <w:rPr>
                <w:rFonts w:eastAsia="Times New Roman" w:cs="Calibri"/>
                <w:color w:val="000000"/>
                <w:sz w:val="20"/>
                <w:szCs w:val="20"/>
                <w:lang w:eastAsia="cs-CZ"/>
              </w:rPr>
              <w:t> </w:t>
            </w:r>
            <w:r w:rsidRPr="00241ECC">
              <w:rPr>
                <w:rFonts w:eastAsia="Times New Roman" w:cs="Calibri"/>
                <w:color w:val="000000"/>
                <w:sz w:val="20"/>
                <w:szCs w:val="20"/>
                <w:lang w:eastAsia="cs-CZ"/>
              </w:rPr>
              <w:t>denní formě vzdělávání</w:t>
            </w:r>
          </w:p>
        </w:tc>
        <w:tc>
          <w:tcPr>
            <w:tcW w:w="666" w:type="pct"/>
            <w:tcBorders>
              <w:top w:val="single" w:sz="4" w:space="0" w:color="8ED973"/>
              <w:left w:val="nil"/>
              <w:bottom w:val="nil"/>
              <w:right w:val="nil"/>
            </w:tcBorders>
            <w:noWrap/>
            <w:hideMark/>
          </w:tcPr>
          <w:p w14:paraId="064E830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0D05CF4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Přijímání ke vzdělávání</w:t>
            </w:r>
          </w:p>
        </w:tc>
        <w:tc>
          <w:tcPr>
            <w:tcW w:w="557" w:type="pct"/>
            <w:tcBorders>
              <w:top w:val="single" w:sz="4" w:space="0" w:color="8ED973"/>
              <w:left w:val="nil"/>
              <w:bottom w:val="nil"/>
              <w:right w:val="nil"/>
            </w:tcBorders>
            <w:noWrap/>
            <w:hideMark/>
          </w:tcPr>
          <w:p w14:paraId="32EDBCE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575735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464C127" w14:textId="77777777" w:rsidTr="009A58B0">
        <w:trPr>
          <w:trHeight w:val="520"/>
        </w:trPr>
        <w:tc>
          <w:tcPr>
            <w:tcW w:w="2355" w:type="pct"/>
            <w:tcBorders>
              <w:top w:val="single" w:sz="4" w:space="0" w:color="8ED973"/>
              <w:left w:val="single" w:sz="4" w:space="0" w:color="4EA72E"/>
              <w:bottom w:val="nil"/>
              <w:right w:val="nil"/>
            </w:tcBorders>
            <w:hideMark/>
          </w:tcPr>
          <w:p w14:paraId="5139A00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1. stupně ZŠ, kteří se vzdělávají ve školách se školní družinou</w:t>
            </w:r>
            <w:r>
              <w:rPr>
                <w:rFonts w:eastAsia="Times New Roman" w:cs="Calibri"/>
                <w:color w:val="000000"/>
                <w:sz w:val="20"/>
                <w:szCs w:val="20"/>
                <w:lang w:eastAsia="cs-CZ"/>
              </w:rPr>
              <w:t>,</w:t>
            </w:r>
            <w:r w:rsidRPr="00241ECC">
              <w:rPr>
                <w:rFonts w:eastAsia="Times New Roman" w:cs="Calibri"/>
                <w:color w:val="000000"/>
                <w:sz w:val="20"/>
                <w:szCs w:val="20"/>
                <w:lang w:eastAsia="cs-CZ"/>
              </w:rPr>
              <w:t xml:space="preserve"> u níž je naplněná nebo překročená kapacita</w:t>
            </w:r>
          </w:p>
        </w:tc>
        <w:tc>
          <w:tcPr>
            <w:tcW w:w="666" w:type="pct"/>
            <w:tcBorders>
              <w:top w:val="single" w:sz="4" w:space="0" w:color="8ED973"/>
              <w:left w:val="nil"/>
              <w:bottom w:val="nil"/>
              <w:right w:val="nil"/>
            </w:tcBorders>
            <w:noWrap/>
            <w:hideMark/>
          </w:tcPr>
          <w:p w14:paraId="2ABCA97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22BE4FA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Přijímání ke vzdělávání</w:t>
            </w:r>
          </w:p>
        </w:tc>
        <w:tc>
          <w:tcPr>
            <w:tcW w:w="557" w:type="pct"/>
            <w:tcBorders>
              <w:top w:val="single" w:sz="4" w:space="0" w:color="8ED973"/>
              <w:left w:val="nil"/>
              <w:bottom w:val="nil"/>
              <w:right w:val="nil"/>
            </w:tcBorders>
            <w:noWrap/>
            <w:hideMark/>
          </w:tcPr>
          <w:p w14:paraId="7A02016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9FC701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48B5AF49" w14:textId="77777777" w:rsidTr="009A58B0">
        <w:trPr>
          <w:trHeight w:val="290"/>
        </w:trPr>
        <w:tc>
          <w:tcPr>
            <w:tcW w:w="2355" w:type="pct"/>
            <w:tcBorders>
              <w:top w:val="single" w:sz="4" w:space="0" w:color="8ED973"/>
              <w:left w:val="single" w:sz="4" w:space="0" w:color="4EA72E"/>
              <w:bottom w:val="nil"/>
              <w:right w:val="nil"/>
            </w:tcBorders>
            <w:hideMark/>
          </w:tcPr>
          <w:p w14:paraId="4852C1B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základních škol se školní družinou</w:t>
            </w:r>
            <w:r>
              <w:rPr>
                <w:rFonts w:eastAsia="Times New Roman" w:cs="Calibri"/>
                <w:color w:val="000000"/>
                <w:sz w:val="20"/>
                <w:szCs w:val="20"/>
                <w:lang w:eastAsia="cs-CZ"/>
              </w:rPr>
              <w:t>,</w:t>
            </w:r>
            <w:r w:rsidRPr="00241ECC">
              <w:rPr>
                <w:rFonts w:eastAsia="Times New Roman" w:cs="Calibri"/>
                <w:color w:val="000000"/>
                <w:sz w:val="20"/>
                <w:szCs w:val="20"/>
                <w:lang w:eastAsia="cs-CZ"/>
              </w:rPr>
              <w:t xml:space="preserve"> u níž je naplněná nebo překročená kapacita</w:t>
            </w:r>
          </w:p>
        </w:tc>
        <w:tc>
          <w:tcPr>
            <w:tcW w:w="666" w:type="pct"/>
            <w:tcBorders>
              <w:top w:val="single" w:sz="4" w:space="0" w:color="8ED973"/>
              <w:left w:val="nil"/>
              <w:bottom w:val="nil"/>
              <w:right w:val="nil"/>
            </w:tcBorders>
            <w:noWrap/>
            <w:hideMark/>
          </w:tcPr>
          <w:p w14:paraId="29DF884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7F7C58C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Přijímání ke vzdělávání</w:t>
            </w:r>
          </w:p>
        </w:tc>
        <w:tc>
          <w:tcPr>
            <w:tcW w:w="557" w:type="pct"/>
            <w:tcBorders>
              <w:top w:val="single" w:sz="4" w:space="0" w:color="8ED973"/>
              <w:left w:val="nil"/>
              <w:bottom w:val="nil"/>
              <w:right w:val="nil"/>
            </w:tcBorders>
            <w:noWrap/>
            <w:hideMark/>
          </w:tcPr>
          <w:p w14:paraId="606762B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944351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4871EA0" w14:textId="77777777" w:rsidTr="009A58B0">
        <w:trPr>
          <w:trHeight w:val="290"/>
        </w:trPr>
        <w:tc>
          <w:tcPr>
            <w:tcW w:w="2355" w:type="pct"/>
            <w:tcBorders>
              <w:top w:val="single" w:sz="4" w:space="0" w:color="8ED973"/>
              <w:left w:val="single" w:sz="4" w:space="0" w:color="4EA72E"/>
              <w:bottom w:val="nil"/>
              <w:right w:val="nil"/>
            </w:tcBorders>
            <w:hideMark/>
          </w:tcPr>
          <w:p w14:paraId="7D126E2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dětí-cizinců v MŠ</w:t>
            </w:r>
          </w:p>
        </w:tc>
        <w:tc>
          <w:tcPr>
            <w:tcW w:w="666" w:type="pct"/>
            <w:tcBorders>
              <w:top w:val="single" w:sz="4" w:space="0" w:color="8ED973"/>
              <w:left w:val="nil"/>
              <w:bottom w:val="nil"/>
              <w:right w:val="nil"/>
            </w:tcBorders>
            <w:noWrap/>
            <w:hideMark/>
          </w:tcPr>
          <w:p w14:paraId="4718472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096D6DC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4618DB8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42ABD13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4126F6D" w14:textId="77777777" w:rsidTr="009A58B0">
        <w:trPr>
          <w:trHeight w:val="290"/>
        </w:trPr>
        <w:tc>
          <w:tcPr>
            <w:tcW w:w="2355" w:type="pct"/>
            <w:tcBorders>
              <w:top w:val="single" w:sz="4" w:space="0" w:color="8ED973"/>
              <w:left w:val="single" w:sz="4" w:space="0" w:color="4EA72E"/>
              <w:bottom w:val="nil"/>
              <w:right w:val="nil"/>
            </w:tcBorders>
            <w:hideMark/>
          </w:tcPr>
          <w:p w14:paraId="5EAEB79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žáků-cizinců v ZŠ</w:t>
            </w:r>
          </w:p>
        </w:tc>
        <w:tc>
          <w:tcPr>
            <w:tcW w:w="666" w:type="pct"/>
            <w:tcBorders>
              <w:top w:val="single" w:sz="4" w:space="0" w:color="8ED973"/>
              <w:left w:val="nil"/>
              <w:bottom w:val="nil"/>
              <w:right w:val="nil"/>
            </w:tcBorders>
            <w:noWrap/>
            <w:hideMark/>
          </w:tcPr>
          <w:p w14:paraId="6FC50E8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75CBAE4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21EACF0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814767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3A62019E" w14:textId="77777777" w:rsidTr="009A58B0">
        <w:trPr>
          <w:trHeight w:val="290"/>
        </w:trPr>
        <w:tc>
          <w:tcPr>
            <w:tcW w:w="2355" w:type="pct"/>
            <w:tcBorders>
              <w:top w:val="single" w:sz="4" w:space="0" w:color="8ED973"/>
              <w:left w:val="single" w:sz="4" w:space="0" w:color="4EA72E"/>
              <w:bottom w:val="nil"/>
              <w:right w:val="nil"/>
            </w:tcBorders>
            <w:hideMark/>
          </w:tcPr>
          <w:p w14:paraId="6249968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žáků-cizinců v SŠ</w:t>
            </w:r>
          </w:p>
        </w:tc>
        <w:tc>
          <w:tcPr>
            <w:tcW w:w="666" w:type="pct"/>
            <w:tcBorders>
              <w:top w:val="single" w:sz="4" w:space="0" w:color="8ED973"/>
              <w:left w:val="nil"/>
              <w:bottom w:val="nil"/>
              <w:right w:val="nil"/>
            </w:tcBorders>
            <w:noWrap/>
            <w:hideMark/>
          </w:tcPr>
          <w:p w14:paraId="3C2031B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3A1F818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65B83E2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834530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1A761E92" w14:textId="77777777" w:rsidTr="009A58B0">
        <w:trPr>
          <w:trHeight w:val="290"/>
        </w:trPr>
        <w:tc>
          <w:tcPr>
            <w:tcW w:w="2355" w:type="pct"/>
            <w:tcBorders>
              <w:top w:val="single" w:sz="4" w:space="0" w:color="8ED973"/>
              <w:left w:val="single" w:sz="4" w:space="0" w:color="4EA72E"/>
              <w:bottom w:val="nil"/>
              <w:right w:val="nil"/>
            </w:tcBorders>
            <w:hideMark/>
          </w:tcPr>
          <w:p w14:paraId="5CE4EE9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Míra odchodů na víceletá gymnázia a konzervatoře</w:t>
            </w:r>
          </w:p>
        </w:tc>
        <w:tc>
          <w:tcPr>
            <w:tcW w:w="666" w:type="pct"/>
            <w:tcBorders>
              <w:top w:val="single" w:sz="4" w:space="0" w:color="8ED973"/>
              <w:left w:val="nil"/>
              <w:bottom w:val="nil"/>
              <w:right w:val="nil"/>
            </w:tcBorders>
            <w:noWrap/>
            <w:hideMark/>
          </w:tcPr>
          <w:p w14:paraId="55A177F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2E84DEA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3A5F94C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 SŠ</w:t>
            </w:r>
          </w:p>
        </w:tc>
        <w:tc>
          <w:tcPr>
            <w:tcW w:w="291" w:type="pct"/>
            <w:tcBorders>
              <w:top w:val="single" w:sz="4" w:space="0" w:color="8ED973"/>
              <w:left w:val="nil"/>
              <w:bottom w:val="nil"/>
              <w:right w:val="single" w:sz="4" w:space="0" w:color="4EA72E"/>
            </w:tcBorders>
            <w:noWrap/>
            <w:hideMark/>
          </w:tcPr>
          <w:p w14:paraId="7FDB486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195D46D8" w14:textId="77777777" w:rsidTr="009A58B0">
        <w:trPr>
          <w:trHeight w:val="290"/>
        </w:trPr>
        <w:tc>
          <w:tcPr>
            <w:tcW w:w="2355" w:type="pct"/>
            <w:tcBorders>
              <w:top w:val="single" w:sz="4" w:space="0" w:color="8ED973"/>
              <w:left w:val="single" w:sz="4" w:space="0" w:color="4EA72E"/>
              <w:bottom w:val="nil"/>
              <w:right w:val="nil"/>
            </w:tcBorders>
            <w:hideMark/>
          </w:tcPr>
          <w:p w14:paraId="407F778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lastRenderedPageBreak/>
              <w:t xml:space="preserve">Podíl žáků 1. stupně ZŠ, kteří docházejí do školní družiny </w:t>
            </w:r>
          </w:p>
        </w:tc>
        <w:tc>
          <w:tcPr>
            <w:tcW w:w="666" w:type="pct"/>
            <w:tcBorders>
              <w:top w:val="single" w:sz="4" w:space="0" w:color="8ED973"/>
              <w:left w:val="nil"/>
              <w:bottom w:val="nil"/>
              <w:right w:val="nil"/>
            </w:tcBorders>
            <w:noWrap/>
            <w:hideMark/>
          </w:tcPr>
          <w:p w14:paraId="7518F0C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58DAA6E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5741382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C13A99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2</w:t>
            </w:r>
          </w:p>
        </w:tc>
      </w:tr>
      <w:tr w:rsidR="0024586E" w:rsidRPr="00241ECC" w14:paraId="76438870" w14:textId="77777777" w:rsidTr="009A58B0">
        <w:trPr>
          <w:trHeight w:val="290"/>
        </w:trPr>
        <w:tc>
          <w:tcPr>
            <w:tcW w:w="2355" w:type="pct"/>
            <w:tcBorders>
              <w:top w:val="single" w:sz="4" w:space="0" w:color="8ED973"/>
              <w:left w:val="single" w:sz="4" w:space="0" w:color="4EA72E"/>
              <w:bottom w:val="nil"/>
              <w:right w:val="nil"/>
            </w:tcBorders>
            <w:hideMark/>
          </w:tcPr>
          <w:p w14:paraId="2A73893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 se zdravotním znevýhodněním vzdělávajících se v běžných třídách MŠ</w:t>
            </w:r>
          </w:p>
        </w:tc>
        <w:tc>
          <w:tcPr>
            <w:tcW w:w="666" w:type="pct"/>
            <w:tcBorders>
              <w:top w:val="single" w:sz="4" w:space="0" w:color="8ED973"/>
              <w:left w:val="nil"/>
              <w:bottom w:val="nil"/>
              <w:right w:val="nil"/>
            </w:tcBorders>
            <w:noWrap/>
            <w:hideMark/>
          </w:tcPr>
          <w:p w14:paraId="2D64A88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09A2F65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4BD0A47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1E42730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60E36209" w14:textId="77777777" w:rsidTr="009A58B0">
        <w:trPr>
          <w:trHeight w:val="290"/>
        </w:trPr>
        <w:tc>
          <w:tcPr>
            <w:tcW w:w="2355" w:type="pct"/>
            <w:tcBorders>
              <w:top w:val="single" w:sz="4" w:space="0" w:color="8ED973"/>
              <w:left w:val="single" w:sz="4" w:space="0" w:color="4EA72E"/>
              <w:bottom w:val="nil"/>
              <w:right w:val="nil"/>
            </w:tcBorders>
            <w:hideMark/>
          </w:tcPr>
          <w:p w14:paraId="17D63A0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 ve věku 5 let navštěvujících MŠ z dané věkové skupiny</w:t>
            </w:r>
          </w:p>
        </w:tc>
        <w:tc>
          <w:tcPr>
            <w:tcW w:w="666" w:type="pct"/>
            <w:tcBorders>
              <w:top w:val="single" w:sz="4" w:space="0" w:color="8ED973"/>
              <w:left w:val="nil"/>
              <w:bottom w:val="nil"/>
              <w:right w:val="nil"/>
            </w:tcBorders>
            <w:noWrap/>
            <w:hideMark/>
          </w:tcPr>
          <w:p w14:paraId="107D1CC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2AC69A6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201EF2A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5E50E80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33552A05" w14:textId="77777777" w:rsidTr="009A58B0">
        <w:trPr>
          <w:trHeight w:val="290"/>
        </w:trPr>
        <w:tc>
          <w:tcPr>
            <w:tcW w:w="2355" w:type="pct"/>
            <w:tcBorders>
              <w:top w:val="single" w:sz="4" w:space="0" w:color="8ED973"/>
              <w:left w:val="single" w:sz="4" w:space="0" w:color="4EA72E"/>
              <w:bottom w:val="nil"/>
              <w:right w:val="nil"/>
            </w:tcBorders>
            <w:hideMark/>
          </w:tcPr>
          <w:p w14:paraId="0E34E44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se zdravotním znevýhodněním vzdělávajících se v běžných třídách ZŠ</w:t>
            </w:r>
          </w:p>
        </w:tc>
        <w:tc>
          <w:tcPr>
            <w:tcW w:w="666" w:type="pct"/>
            <w:tcBorders>
              <w:top w:val="single" w:sz="4" w:space="0" w:color="8ED973"/>
              <w:left w:val="nil"/>
              <w:bottom w:val="nil"/>
              <w:right w:val="nil"/>
            </w:tcBorders>
            <w:noWrap/>
            <w:hideMark/>
          </w:tcPr>
          <w:p w14:paraId="1E25B4E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2799141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36A3EBC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999FB9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086C3370" w14:textId="77777777" w:rsidTr="009A58B0">
        <w:trPr>
          <w:trHeight w:val="290"/>
        </w:trPr>
        <w:tc>
          <w:tcPr>
            <w:tcW w:w="2355" w:type="pct"/>
            <w:tcBorders>
              <w:top w:val="single" w:sz="4" w:space="0" w:color="8ED973"/>
              <w:left w:val="single" w:sz="4" w:space="0" w:color="4EA72E"/>
              <w:bottom w:val="nil"/>
              <w:right w:val="nil"/>
            </w:tcBorders>
            <w:hideMark/>
          </w:tcPr>
          <w:p w14:paraId="6539BFB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s lehkým mentálním postižením v běžných a speciálních třídách ZŠ</w:t>
            </w:r>
          </w:p>
        </w:tc>
        <w:tc>
          <w:tcPr>
            <w:tcW w:w="666" w:type="pct"/>
            <w:tcBorders>
              <w:top w:val="single" w:sz="4" w:space="0" w:color="8ED973"/>
              <w:left w:val="nil"/>
              <w:bottom w:val="nil"/>
              <w:right w:val="nil"/>
            </w:tcBorders>
            <w:noWrap/>
            <w:hideMark/>
          </w:tcPr>
          <w:p w14:paraId="737C5DF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052CC29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2130EA4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C976E3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72CC1232" w14:textId="77777777" w:rsidTr="009A58B0">
        <w:trPr>
          <w:trHeight w:val="290"/>
        </w:trPr>
        <w:tc>
          <w:tcPr>
            <w:tcW w:w="2355" w:type="pct"/>
            <w:tcBorders>
              <w:top w:val="single" w:sz="4" w:space="0" w:color="8ED973"/>
              <w:left w:val="single" w:sz="4" w:space="0" w:color="4EA72E"/>
              <w:bottom w:val="nil"/>
              <w:right w:val="nil"/>
            </w:tcBorders>
            <w:hideMark/>
          </w:tcPr>
          <w:p w14:paraId="39FE021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 ve věku 2 let navštěvujících MŠ z dané věkové skupiny</w:t>
            </w:r>
          </w:p>
        </w:tc>
        <w:tc>
          <w:tcPr>
            <w:tcW w:w="666" w:type="pct"/>
            <w:tcBorders>
              <w:top w:val="single" w:sz="4" w:space="0" w:color="8ED973"/>
              <w:left w:val="nil"/>
              <w:bottom w:val="nil"/>
              <w:right w:val="nil"/>
            </w:tcBorders>
            <w:noWrap/>
            <w:hideMark/>
          </w:tcPr>
          <w:p w14:paraId="60A3F5B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0D17406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500DB89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396F02D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3CF1AB59" w14:textId="77777777" w:rsidTr="009A58B0">
        <w:trPr>
          <w:trHeight w:val="290"/>
        </w:trPr>
        <w:tc>
          <w:tcPr>
            <w:tcW w:w="2355" w:type="pct"/>
            <w:tcBorders>
              <w:top w:val="single" w:sz="4" w:space="0" w:color="8ED973"/>
              <w:left w:val="single" w:sz="4" w:space="0" w:color="4EA72E"/>
              <w:bottom w:val="nil"/>
              <w:right w:val="nil"/>
            </w:tcBorders>
            <w:hideMark/>
          </w:tcPr>
          <w:p w14:paraId="19E2F53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dětí plnící povinný předškolní ročník z věkové skupiny</w:t>
            </w:r>
          </w:p>
        </w:tc>
        <w:tc>
          <w:tcPr>
            <w:tcW w:w="666" w:type="pct"/>
            <w:tcBorders>
              <w:top w:val="single" w:sz="4" w:space="0" w:color="8ED973"/>
              <w:left w:val="nil"/>
              <w:bottom w:val="nil"/>
              <w:right w:val="nil"/>
            </w:tcBorders>
            <w:noWrap/>
            <w:hideMark/>
          </w:tcPr>
          <w:p w14:paraId="32E4F10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13FE808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Účastníci vzdělávání</w:t>
            </w:r>
          </w:p>
        </w:tc>
        <w:tc>
          <w:tcPr>
            <w:tcW w:w="557" w:type="pct"/>
            <w:tcBorders>
              <w:top w:val="single" w:sz="4" w:space="0" w:color="8ED973"/>
              <w:left w:val="nil"/>
              <w:bottom w:val="nil"/>
              <w:right w:val="nil"/>
            </w:tcBorders>
            <w:noWrap/>
            <w:hideMark/>
          </w:tcPr>
          <w:p w14:paraId="25960B6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MŠ</w:t>
            </w:r>
          </w:p>
        </w:tc>
        <w:tc>
          <w:tcPr>
            <w:tcW w:w="291" w:type="pct"/>
            <w:tcBorders>
              <w:top w:val="single" w:sz="4" w:space="0" w:color="8ED973"/>
              <w:left w:val="nil"/>
              <w:bottom w:val="nil"/>
              <w:right w:val="single" w:sz="4" w:space="0" w:color="4EA72E"/>
            </w:tcBorders>
            <w:noWrap/>
            <w:hideMark/>
          </w:tcPr>
          <w:p w14:paraId="0840E72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75650AAA" w14:textId="77777777" w:rsidTr="009A58B0">
        <w:trPr>
          <w:trHeight w:val="290"/>
        </w:trPr>
        <w:tc>
          <w:tcPr>
            <w:tcW w:w="2355" w:type="pct"/>
            <w:tcBorders>
              <w:top w:val="single" w:sz="4" w:space="0" w:color="8ED973"/>
              <w:left w:val="single" w:sz="4" w:space="0" w:color="4EA72E"/>
              <w:bottom w:val="nil"/>
              <w:right w:val="nil"/>
            </w:tcBorders>
            <w:hideMark/>
          </w:tcPr>
          <w:p w14:paraId="1E4754C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Procento 15letých žáků s aspirací dosáhnout vysokoškolského vzdělání</w:t>
            </w:r>
          </w:p>
        </w:tc>
        <w:tc>
          <w:tcPr>
            <w:tcW w:w="666" w:type="pct"/>
            <w:tcBorders>
              <w:top w:val="single" w:sz="4" w:space="0" w:color="8ED973"/>
              <w:left w:val="nil"/>
              <w:bottom w:val="nil"/>
              <w:right w:val="nil"/>
            </w:tcBorders>
            <w:noWrap/>
            <w:hideMark/>
          </w:tcPr>
          <w:p w14:paraId="318CB2F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7DBA383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Vzdělanostní aspirace</w:t>
            </w:r>
          </w:p>
        </w:tc>
        <w:tc>
          <w:tcPr>
            <w:tcW w:w="557" w:type="pct"/>
            <w:tcBorders>
              <w:top w:val="single" w:sz="4" w:space="0" w:color="8ED973"/>
              <w:left w:val="nil"/>
              <w:bottom w:val="nil"/>
              <w:right w:val="nil"/>
            </w:tcBorders>
            <w:noWrap/>
            <w:hideMark/>
          </w:tcPr>
          <w:p w14:paraId="6C0BA6A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 SŠ</w:t>
            </w:r>
          </w:p>
        </w:tc>
        <w:tc>
          <w:tcPr>
            <w:tcW w:w="291" w:type="pct"/>
            <w:tcBorders>
              <w:top w:val="single" w:sz="4" w:space="0" w:color="8ED973"/>
              <w:left w:val="nil"/>
              <w:bottom w:val="nil"/>
              <w:right w:val="single" w:sz="4" w:space="0" w:color="4EA72E"/>
            </w:tcBorders>
            <w:noWrap/>
            <w:hideMark/>
          </w:tcPr>
          <w:p w14:paraId="1605BE5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29E7752" w14:textId="77777777" w:rsidTr="009A58B0">
        <w:trPr>
          <w:trHeight w:val="290"/>
        </w:trPr>
        <w:tc>
          <w:tcPr>
            <w:tcW w:w="2355" w:type="pct"/>
            <w:tcBorders>
              <w:top w:val="single" w:sz="4" w:space="0" w:color="8ED973"/>
              <w:left w:val="single" w:sz="4" w:space="0" w:color="4EA72E"/>
              <w:bottom w:val="nil"/>
              <w:right w:val="nil"/>
            </w:tcBorders>
            <w:hideMark/>
          </w:tcPr>
          <w:p w14:paraId="405718E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 xml:space="preserve">Podíl žáků aspirujících v JPZ na maturitní obory </w:t>
            </w:r>
          </w:p>
        </w:tc>
        <w:tc>
          <w:tcPr>
            <w:tcW w:w="666" w:type="pct"/>
            <w:tcBorders>
              <w:top w:val="single" w:sz="4" w:space="0" w:color="8ED973"/>
              <w:left w:val="nil"/>
              <w:bottom w:val="nil"/>
              <w:right w:val="nil"/>
            </w:tcBorders>
            <w:noWrap/>
            <w:hideMark/>
          </w:tcPr>
          <w:p w14:paraId="6862A37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Účast na vzdělávání</w:t>
            </w:r>
          </w:p>
        </w:tc>
        <w:tc>
          <w:tcPr>
            <w:tcW w:w="1132" w:type="pct"/>
            <w:tcBorders>
              <w:top w:val="single" w:sz="4" w:space="0" w:color="8ED973"/>
              <w:left w:val="nil"/>
              <w:bottom w:val="nil"/>
              <w:right w:val="nil"/>
            </w:tcBorders>
            <w:noWrap/>
            <w:hideMark/>
          </w:tcPr>
          <w:p w14:paraId="2B26E93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Vzdělanostní aspirace</w:t>
            </w:r>
          </w:p>
        </w:tc>
        <w:tc>
          <w:tcPr>
            <w:tcW w:w="557" w:type="pct"/>
            <w:tcBorders>
              <w:top w:val="single" w:sz="4" w:space="0" w:color="8ED973"/>
              <w:left w:val="nil"/>
              <w:bottom w:val="nil"/>
              <w:right w:val="nil"/>
            </w:tcBorders>
            <w:noWrap/>
            <w:hideMark/>
          </w:tcPr>
          <w:p w14:paraId="0ECEF2E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 SŠ</w:t>
            </w:r>
          </w:p>
        </w:tc>
        <w:tc>
          <w:tcPr>
            <w:tcW w:w="291" w:type="pct"/>
            <w:tcBorders>
              <w:top w:val="single" w:sz="4" w:space="0" w:color="8ED973"/>
              <w:left w:val="nil"/>
              <w:bottom w:val="nil"/>
              <w:right w:val="single" w:sz="4" w:space="0" w:color="4EA72E"/>
            </w:tcBorders>
            <w:noWrap/>
            <w:hideMark/>
          </w:tcPr>
          <w:p w14:paraId="34483ED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355C2BE9" w14:textId="77777777" w:rsidTr="009A58B0">
        <w:trPr>
          <w:trHeight w:val="290"/>
        </w:trPr>
        <w:tc>
          <w:tcPr>
            <w:tcW w:w="2355" w:type="pct"/>
            <w:tcBorders>
              <w:top w:val="single" w:sz="4" w:space="0" w:color="8ED973"/>
              <w:left w:val="single" w:sz="4" w:space="0" w:color="4EA72E"/>
              <w:bottom w:val="nil"/>
              <w:right w:val="nil"/>
            </w:tcBorders>
            <w:hideMark/>
          </w:tcPr>
          <w:p w14:paraId="245462C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žáků 4. tříd ZŠ v testech čtenářské dovednosti (PIRLS)</w:t>
            </w:r>
          </w:p>
        </w:tc>
        <w:tc>
          <w:tcPr>
            <w:tcW w:w="666" w:type="pct"/>
            <w:tcBorders>
              <w:top w:val="single" w:sz="4" w:space="0" w:color="8ED973"/>
              <w:left w:val="nil"/>
              <w:bottom w:val="nil"/>
              <w:right w:val="nil"/>
            </w:tcBorders>
            <w:noWrap/>
            <w:hideMark/>
          </w:tcPr>
          <w:p w14:paraId="545D310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162F764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35D917E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4769C6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22549C12" w14:textId="77777777" w:rsidTr="009A58B0">
        <w:trPr>
          <w:trHeight w:val="290"/>
        </w:trPr>
        <w:tc>
          <w:tcPr>
            <w:tcW w:w="2355" w:type="pct"/>
            <w:tcBorders>
              <w:top w:val="single" w:sz="4" w:space="0" w:color="8ED973"/>
              <w:left w:val="single" w:sz="4" w:space="0" w:color="4EA72E"/>
              <w:bottom w:val="nil"/>
              <w:right w:val="nil"/>
            </w:tcBorders>
            <w:hideMark/>
          </w:tcPr>
          <w:p w14:paraId="2C0D5E7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žáků 4. tříd ZŠ v testech matematické dovednosti (TIMSS)</w:t>
            </w:r>
          </w:p>
        </w:tc>
        <w:tc>
          <w:tcPr>
            <w:tcW w:w="666" w:type="pct"/>
            <w:tcBorders>
              <w:top w:val="single" w:sz="4" w:space="0" w:color="8ED973"/>
              <w:left w:val="nil"/>
              <w:bottom w:val="nil"/>
              <w:right w:val="nil"/>
            </w:tcBorders>
            <w:noWrap/>
            <w:hideMark/>
          </w:tcPr>
          <w:p w14:paraId="17EDC66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17E07E9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1A640F7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0BB10D3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4BCFA004" w14:textId="77777777" w:rsidTr="009A58B0">
        <w:trPr>
          <w:trHeight w:val="290"/>
        </w:trPr>
        <w:tc>
          <w:tcPr>
            <w:tcW w:w="2355" w:type="pct"/>
            <w:tcBorders>
              <w:top w:val="single" w:sz="4" w:space="0" w:color="8ED973"/>
              <w:left w:val="single" w:sz="4" w:space="0" w:color="4EA72E"/>
              <w:bottom w:val="nil"/>
              <w:right w:val="nil"/>
            </w:tcBorders>
            <w:hideMark/>
          </w:tcPr>
          <w:p w14:paraId="22F4350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žáků 4. tříd ZŠ v testech přírodovědné dovednosti (TIMSS)</w:t>
            </w:r>
          </w:p>
        </w:tc>
        <w:tc>
          <w:tcPr>
            <w:tcW w:w="666" w:type="pct"/>
            <w:tcBorders>
              <w:top w:val="single" w:sz="4" w:space="0" w:color="8ED973"/>
              <w:left w:val="nil"/>
              <w:bottom w:val="nil"/>
              <w:right w:val="nil"/>
            </w:tcBorders>
            <w:noWrap/>
            <w:hideMark/>
          </w:tcPr>
          <w:p w14:paraId="0DA258B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2832D0F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4087045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16BF814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733BE14B" w14:textId="77777777" w:rsidTr="009A58B0">
        <w:trPr>
          <w:trHeight w:val="290"/>
        </w:trPr>
        <w:tc>
          <w:tcPr>
            <w:tcW w:w="2355" w:type="pct"/>
            <w:tcBorders>
              <w:top w:val="single" w:sz="4" w:space="0" w:color="8ED973"/>
              <w:left w:val="single" w:sz="4" w:space="0" w:color="4EA72E"/>
              <w:bottom w:val="nil"/>
              <w:right w:val="nil"/>
            </w:tcBorders>
            <w:hideMark/>
          </w:tcPr>
          <w:p w14:paraId="773A92C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15letých v testech čtenářské gramotnosti (PISA)</w:t>
            </w:r>
          </w:p>
        </w:tc>
        <w:tc>
          <w:tcPr>
            <w:tcW w:w="666" w:type="pct"/>
            <w:tcBorders>
              <w:top w:val="single" w:sz="4" w:space="0" w:color="8ED973"/>
              <w:left w:val="nil"/>
              <w:bottom w:val="nil"/>
              <w:right w:val="nil"/>
            </w:tcBorders>
            <w:noWrap/>
            <w:hideMark/>
          </w:tcPr>
          <w:p w14:paraId="1D1D56D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0998AC9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4122628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5F2A423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74288C2" w14:textId="77777777" w:rsidTr="009A58B0">
        <w:trPr>
          <w:trHeight w:val="290"/>
        </w:trPr>
        <w:tc>
          <w:tcPr>
            <w:tcW w:w="2355" w:type="pct"/>
            <w:tcBorders>
              <w:top w:val="single" w:sz="4" w:space="0" w:color="8ED973"/>
              <w:left w:val="single" w:sz="4" w:space="0" w:color="4EA72E"/>
              <w:bottom w:val="nil"/>
              <w:right w:val="nil"/>
            </w:tcBorders>
            <w:hideMark/>
          </w:tcPr>
          <w:p w14:paraId="5B3EF0D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žáků 8. tříd ZŠ v testech matematické dovednosti (TIMSS)</w:t>
            </w:r>
          </w:p>
        </w:tc>
        <w:tc>
          <w:tcPr>
            <w:tcW w:w="666" w:type="pct"/>
            <w:tcBorders>
              <w:top w:val="single" w:sz="4" w:space="0" w:color="8ED973"/>
              <w:left w:val="nil"/>
              <w:bottom w:val="nil"/>
              <w:right w:val="nil"/>
            </w:tcBorders>
            <w:noWrap/>
            <w:hideMark/>
          </w:tcPr>
          <w:p w14:paraId="18AAF01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70C9060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6AF947C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843ACA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296FBF5A" w14:textId="77777777" w:rsidTr="009A58B0">
        <w:trPr>
          <w:trHeight w:val="290"/>
        </w:trPr>
        <w:tc>
          <w:tcPr>
            <w:tcW w:w="2355" w:type="pct"/>
            <w:tcBorders>
              <w:top w:val="single" w:sz="4" w:space="0" w:color="8ED973"/>
              <w:left w:val="single" w:sz="4" w:space="0" w:color="4EA72E"/>
              <w:bottom w:val="nil"/>
              <w:right w:val="nil"/>
            </w:tcBorders>
            <w:hideMark/>
          </w:tcPr>
          <w:p w14:paraId="2E85667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15letých v testech matematické gramotnosti (PISA)</w:t>
            </w:r>
          </w:p>
        </w:tc>
        <w:tc>
          <w:tcPr>
            <w:tcW w:w="666" w:type="pct"/>
            <w:tcBorders>
              <w:top w:val="single" w:sz="4" w:space="0" w:color="8ED973"/>
              <w:left w:val="nil"/>
              <w:bottom w:val="nil"/>
              <w:right w:val="nil"/>
            </w:tcBorders>
            <w:noWrap/>
            <w:hideMark/>
          </w:tcPr>
          <w:p w14:paraId="4EB819C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07C2A70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518DFA4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EC6532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2</w:t>
            </w:r>
          </w:p>
        </w:tc>
      </w:tr>
      <w:tr w:rsidR="0024586E" w:rsidRPr="00241ECC" w14:paraId="788254D5" w14:textId="77777777" w:rsidTr="009A58B0">
        <w:trPr>
          <w:trHeight w:val="290"/>
        </w:trPr>
        <w:tc>
          <w:tcPr>
            <w:tcW w:w="2355" w:type="pct"/>
            <w:tcBorders>
              <w:top w:val="single" w:sz="4" w:space="0" w:color="8ED973"/>
              <w:left w:val="single" w:sz="4" w:space="0" w:color="4EA72E"/>
              <w:bottom w:val="nil"/>
              <w:right w:val="nil"/>
            </w:tcBorders>
            <w:hideMark/>
          </w:tcPr>
          <w:p w14:paraId="3F0CB98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Průměrný výsledek žáků 8. tříd ZŠ v testech přírodovědné dovednosti (TIMSS)</w:t>
            </w:r>
          </w:p>
        </w:tc>
        <w:tc>
          <w:tcPr>
            <w:tcW w:w="666" w:type="pct"/>
            <w:tcBorders>
              <w:top w:val="single" w:sz="4" w:space="0" w:color="8ED973"/>
              <w:left w:val="nil"/>
              <w:bottom w:val="nil"/>
              <w:right w:val="nil"/>
            </w:tcBorders>
            <w:noWrap/>
            <w:hideMark/>
          </w:tcPr>
          <w:p w14:paraId="66368E7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56035E7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Mezinárodní šetření</w:t>
            </w:r>
          </w:p>
        </w:tc>
        <w:tc>
          <w:tcPr>
            <w:tcW w:w="557" w:type="pct"/>
            <w:tcBorders>
              <w:top w:val="single" w:sz="4" w:space="0" w:color="8ED973"/>
              <w:left w:val="nil"/>
              <w:bottom w:val="nil"/>
              <w:right w:val="nil"/>
            </w:tcBorders>
            <w:noWrap/>
            <w:hideMark/>
          </w:tcPr>
          <w:p w14:paraId="5A4AE34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05FDE68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2</w:t>
            </w:r>
          </w:p>
        </w:tc>
      </w:tr>
      <w:tr w:rsidR="0024586E" w:rsidRPr="00241ECC" w14:paraId="60611685" w14:textId="77777777" w:rsidTr="009A58B0">
        <w:trPr>
          <w:trHeight w:val="290"/>
        </w:trPr>
        <w:tc>
          <w:tcPr>
            <w:tcW w:w="2355" w:type="pct"/>
            <w:tcBorders>
              <w:top w:val="single" w:sz="4" w:space="0" w:color="8ED973"/>
              <w:left w:val="single" w:sz="4" w:space="0" w:color="4EA72E"/>
              <w:bottom w:val="nil"/>
              <w:right w:val="nil"/>
            </w:tcBorders>
            <w:hideMark/>
          </w:tcPr>
          <w:p w14:paraId="3AFD76A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5. tříd ZŠ v českém jazyce v nejvyšší úrovni výsledků (1. úroveň)</w:t>
            </w:r>
          </w:p>
        </w:tc>
        <w:tc>
          <w:tcPr>
            <w:tcW w:w="666" w:type="pct"/>
            <w:tcBorders>
              <w:top w:val="single" w:sz="4" w:space="0" w:color="8ED973"/>
              <w:left w:val="nil"/>
              <w:bottom w:val="nil"/>
              <w:right w:val="nil"/>
            </w:tcBorders>
            <w:noWrap/>
            <w:hideMark/>
          </w:tcPr>
          <w:p w14:paraId="28BCACB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693AEB7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1467AE7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89CBF3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32964796" w14:textId="77777777" w:rsidTr="009A58B0">
        <w:trPr>
          <w:trHeight w:val="290"/>
        </w:trPr>
        <w:tc>
          <w:tcPr>
            <w:tcW w:w="2355" w:type="pct"/>
            <w:tcBorders>
              <w:top w:val="single" w:sz="4" w:space="0" w:color="8ED973"/>
              <w:left w:val="single" w:sz="4" w:space="0" w:color="4EA72E"/>
              <w:bottom w:val="nil"/>
              <w:right w:val="nil"/>
            </w:tcBorders>
            <w:hideMark/>
          </w:tcPr>
          <w:p w14:paraId="07A9CF3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5. tříd ZŠ v matematice v nejvyšší úrovni výsledků (1. úroveň)</w:t>
            </w:r>
          </w:p>
        </w:tc>
        <w:tc>
          <w:tcPr>
            <w:tcW w:w="666" w:type="pct"/>
            <w:tcBorders>
              <w:top w:val="single" w:sz="4" w:space="0" w:color="8ED973"/>
              <w:left w:val="nil"/>
              <w:bottom w:val="nil"/>
              <w:right w:val="nil"/>
            </w:tcBorders>
            <w:noWrap/>
            <w:hideMark/>
          </w:tcPr>
          <w:p w14:paraId="187F8E8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708CB70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615742E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BAEF91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7FF04B84" w14:textId="77777777" w:rsidTr="009A58B0">
        <w:trPr>
          <w:trHeight w:val="290"/>
        </w:trPr>
        <w:tc>
          <w:tcPr>
            <w:tcW w:w="2355" w:type="pct"/>
            <w:tcBorders>
              <w:top w:val="single" w:sz="4" w:space="0" w:color="8ED973"/>
              <w:left w:val="single" w:sz="4" w:space="0" w:color="4EA72E"/>
              <w:bottom w:val="nil"/>
              <w:right w:val="nil"/>
            </w:tcBorders>
            <w:hideMark/>
          </w:tcPr>
          <w:p w14:paraId="4A451EB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9. tříd ZŠ v českém jazyce v nejvyšší úrovni výsledků (1. úroveň)</w:t>
            </w:r>
          </w:p>
        </w:tc>
        <w:tc>
          <w:tcPr>
            <w:tcW w:w="666" w:type="pct"/>
            <w:tcBorders>
              <w:top w:val="single" w:sz="4" w:space="0" w:color="8ED973"/>
              <w:left w:val="nil"/>
              <w:bottom w:val="nil"/>
              <w:right w:val="nil"/>
            </w:tcBorders>
            <w:noWrap/>
            <w:hideMark/>
          </w:tcPr>
          <w:p w14:paraId="58B8D29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4573987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7EADBEA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A775B2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35A3DFD" w14:textId="77777777" w:rsidTr="009A58B0">
        <w:trPr>
          <w:trHeight w:val="290"/>
        </w:trPr>
        <w:tc>
          <w:tcPr>
            <w:tcW w:w="2355" w:type="pct"/>
            <w:tcBorders>
              <w:top w:val="single" w:sz="4" w:space="0" w:color="8ED973"/>
              <w:left w:val="single" w:sz="4" w:space="0" w:color="4EA72E"/>
              <w:bottom w:val="nil"/>
              <w:right w:val="nil"/>
            </w:tcBorders>
            <w:hideMark/>
          </w:tcPr>
          <w:p w14:paraId="408E062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9. tříd ZŠ v matematice v nejvyšší úrovni výsledků (1. úroveň)</w:t>
            </w:r>
          </w:p>
        </w:tc>
        <w:tc>
          <w:tcPr>
            <w:tcW w:w="666" w:type="pct"/>
            <w:tcBorders>
              <w:top w:val="single" w:sz="4" w:space="0" w:color="8ED973"/>
              <w:left w:val="nil"/>
              <w:bottom w:val="nil"/>
              <w:right w:val="nil"/>
            </w:tcBorders>
            <w:noWrap/>
            <w:hideMark/>
          </w:tcPr>
          <w:p w14:paraId="238FFD0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65EB127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062F608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296EEF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7F0DA52B" w14:textId="77777777" w:rsidTr="009A58B0">
        <w:trPr>
          <w:trHeight w:val="290"/>
        </w:trPr>
        <w:tc>
          <w:tcPr>
            <w:tcW w:w="2355" w:type="pct"/>
            <w:tcBorders>
              <w:top w:val="single" w:sz="4" w:space="0" w:color="8ED973"/>
              <w:left w:val="single" w:sz="4" w:space="0" w:color="4EA72E"/>
              <w:bottom w:val="nil"/>
              <w:right w:val="nil"/>
            </w:tcBorders>
            <w:hideMark/>
          </w:tcPr>
          <w:p w14:paraId="4808FEF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5. tříd ZŠ v českém jazyce v nejnižší úrovni výsledků (4. úroveň)</w:t>
            </w:r>
          </w:p>
        </w:tc>
        <w:tc>
          <w:tcPr>
            <w:tcW w:w="666" w:type="pct"/>
            <w:tcBorders>
              <w:top w:val="single" w:sz="4" w:space="0" w:color="8ED973"/>
              <w:left w:val="nil"/>
              <w:bottom w:val="nil"/>
              <w:right w:val="nil"/>
            </w:tcBorders>
            <w:noWrap/>
            <w:hideMark/>
          </w:tcPr>
          <w:p w14:paraId="1C29D40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0BB6B30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7AFFFC9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98B461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4ACA4A1D" w14:textId="77777777" w:rsidTr="009A58B0">
        <w:trPr>
          <w:trHeight w:val="290"/>
        </w:trPr>
        <w:tc>
          <w:tcPr>
            <w:tcW w:w="2355" w:type="pct"/>
            <w:tcBorders>
              <w:top w:val="single" w:sz="4" w:space="0" w:color="8ED973"/>
              <w:left w:val="single" w:sz="4" w:space="0" w:color="4EA72E"/>
              <w:bottom w:val="nil"/>
              <w:right w:val="nil"/>
            </w:tcBorders>
            <w:hideMark/>
          </w:tcPr>
          <w:p w14:paraId="49864C4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5. tříd ZŠ v matematice v nejnižší úrovni výsledků (4. úroveň)</w:t>
            </w:r>
          </w:p>
        </w:tc>
        <w:tc>
          <w:tcPr>
            <w:tcW w:w="666" w:type="pct"/>
            <w:tcBorders>
              <w:top w:val="single" w:sz="4" w:space="0" w:color="8ED973"/>
              <w:left w:val="nil"/>
              <w:bottom w:val="nil"/>
              <w:right w:val="nil"/>
            </w:tcBorders>
            <w:noWrap/>
            <w:hideMark/>
          </w:tcPr>
          <w:p w14:paraId="4028D16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78F62A3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16BD887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0029486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D599E21" w14:textId="77777777" w:rsidTr="009A58B0">
        <w:trPr>
          <w:trHeight w:val="290"/>
        </w:trPr>
        <w:tc>
          <w:tcPr>
            <w:tcW w:w="2355" w:type="pct"/>
            <w:tcBorders>
              <w:top w:val="single" w:sz="4" w:space="0" w:color="8ED973"/>
              <w:left w:val="single" w:sz="4" w:space="0" w:color="4EA72E"/>
              <w:bottom w:val="nil"/>
              <w:right w:val="nil"/>
            </w:tcBorders>
            <w:hideMark/>
          </w:tcPr>
          <w:p w14:paraId="4D8A201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9. tříd ZŠ v českém jazyce v nejnižší úrovni výsledků (4. úroveň)</w:t>
            </w:r>
          </w:p>
        </w:tc>
        <w:tc>
          <w:tcPr>
            <w:tcW w:w="666" w:type="pct"/>
            <w:tcBorders>
              <w:top w:val="single" w:sz="4" w:space="0" w:color="8ED973"/>
              <w:left w:val="nil"/>
              <w:bottom w:val="nil"/>
              <w:right w:val="nil"/>
            </w:tcBorders>
            <w:noWrap/>
            <w:hideMark/>
          </w:tcPr>
          <w:p w14:paraId="46FCF2C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70F9DA5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3C3AEC1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B80F59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93A9DCB" w14:textId="77777777" w:rsidTr="009A58B0">
        <w:trPr>
          <w:trHeight w:val="290"/>
        </w:trPr>
        <w:tc>
          <w:tcPr>
            <w:tcW w:w="2355" w:type="pct"/>
            <w:tcBorders>
              <w:top w:val="single" w:sz="4" w:space="0" w:color="8ED973"/>
              <w:left w:val="single" w:sz="4" w:space="0" w:color="4EA72E"/>
              <w:bottom w:val="nil"/>
              <w:right w:val="nil"/>
            </w:tcBorders>
            <w:hideMark/>
          </w:tcPr>
          <w:p w14:paraId="52144BC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9. tříd ZŠ v matematice v nejnižší úrovni výsledků (4. úroveň)</w:t>
            </w:r>
          </w:p>
        </w:tc>
        <w:tc>
          <w:tcPr>
            <w:tcW w:w="666" w:type="pct"/>
            <w:tcBorders>
              <w:top w:val="single" w:sz="4" w:space="0" w:color="8ED973"/>
              <w:left w:val="nil"/>
              <w:bottom w:val="nil"/>
              <w:right w:val="nil"/>
            </w:tcBorders>
            <w:noWrap/>
            <w:hideMark/>
          </w:tcPr>
          <w:p w14:paraId="6FAAF6F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0CD04E8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Národní zjišťování</w:t>
            </w:r>
          </w:p>
        </w:tc>
        <w:tc>
          <w:tcPr>
            <w:tcW w:w="557" w:type="pct"/>
            <w:tcBorders>
              <w:top w:val="single" w:sz="4" w:space="0" w:color="8ED973"/>
              <w:left w:val="nil"/>
              <w:bottom w:val="nil"/>
              <w:right w:val="nil"/>
            </w:tcBorders>
            <w:noWrap/>
            <w:hideMark/>
          </w:tcPr>
          <w:p w14:paraId="2E603AF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CC33E5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236D090" w14:textId="77777777" w:rsidTr="009A58B0">
        <w:trPr>
          <w:trHeight w:val="290"/>
        </w:trPr>
        <w:tc>
          <w:tcPr>
            <w:tcW w:w="2355" w:type="pct"/>
            <w:tcBorders>
              <w:top w:val="single" w:sz="4" w:space="0" w:color="8ED973"/>
              <w:left w:val="single" w:sz="4" w:space="0" w:color="4EA72E"/>
              <w:bottom w:val="nil"/>
              <w:right w:val="nil"/>
            </w:tcBorders>
            <w:hideMark/>
          </w:tcPr>
          <w:p w14:paraId="48C42B9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opakujících ročník na 2. stupni ZŠ</w:t>
            </w:r>
          </w:p>
        </w:tc>
        <w:tc>
          <w:tcPr>
            <w:tcW w:w="666" w:type="pct"/>
            <w:tcBorders>
              <w:top w:val="single" w:sz="4" w:space="0" w:color="8ED973"/>
              <w:left w:val="nil"/>
              <w:bottom w:val="nil"/>
              <w:right w:val="nil"/>
            </w:tcBorders>
            <w:noWrap/>
            <w:hideMark/>
          </w:tcPr>
          <w:p w14:paraId="28C93E9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4B71D3B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Opakování ročníku</w:t>
            </w:r>
          </w:p>
        </w:tc>
        <w:tc>
          <w:tcPr>
            <w:tcW w:w="557" w:type="pct"/>
            <w:tcBorders>
              <w:top w:val="single" w:sz="4" w:space="0" w:color="8ED973"/>
              <w:left w:val="nil"/>
              <w:bottom w:val="nil"/>
              <w:right w:val="nil"/>
            </w:tcBorders>
            <w:noWrap/>
            <w:hideMark/>
          </w:tcPr>
          <w:p w14:paraId="68D3A5D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1A8DEFD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50E1D9DE" w14:textId="77777777" w:rsidTr="009A58B0">
        <w:trPr>
          <w:trHeight w:val="290"/>
        </w:trPr>
        <w:tc>
          <w:tcPr>
            <w:tcW w:w="2355" w:type="pct"/>
            <w:tcBorders>
              <w:top w:val="single" w:sz="4" w:space="0" w:color="8ED973"/>
              <w:left w:val="single" w:sz="4" w:space="0" w:color="4EA72E"/>
              <w:bottom w:val="nil"/>
              <w:right w:val="nil"/>
            </w:tcBorders>
            <w:hideMark/>
          </w:tcPr>
          <w:p w14:paraId="1BEC0CC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opakujících ročník v SŠ</w:t>
            </w:r>
          </w:p>
        </w:tc>
        <w:tc>
          <w:tcPr>
            <w:tcW w:w="666" w:type="pct"/>
            <w:tcBorders>
              <w:top w:val="single" w:sz="4" w:space="0" w:color="8ED973"/>
              <w:left w:val="nil"/>
              <w:bottom w:val="nil"/>
              <w:right w:val="nil"/>
            </w:tcBorders>
            <w:noWrap/>
            <w:hideMark/>
          </w:tcPr>
          <w:p w14:paraId="49B2769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5E7D8D2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Opakování ročníku</w:t>
            </w:r>
          </w:p>
        </w:tc>
        <w:tc>
          <w:tcPr>
            <w:tcW w:w="557" w:type="pct"/>
            <w:tcBorders>
              <w:top w:val="single" w:sz="4" w:space="0" w:color="8ED973"/>
              <w:left w:val="nil"/>
              <w:bottom w:val="nil"/>
              <w:right w:val="nil"/>
            </w:tcBorders>
            <w:noWrap/>
            <w:hideMark/>
          </w:tcPr>
          <w:p w14:paraId="119DC1E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C248A7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012161CE" w14:textId="77777777" w:rsidTr="009A58B0">
        <w:trPr>
          <w:trHeight w:val="290"/>
        </w:trPr>
        <w:tc>
          <w:tcPr>
            <w:tcW w:w="2355" w:type="pct"/>
            <w:tcBorders>
              <w:top w:val="single" w:sz="4" w:space="0" w:color="8ED973"/>
              <w:left w:val="single" w:sz="4" w:space="0" w:color="4EA72E"/>
              <w:bottom w:val="nil"/>
              <w:right w:val="nil"/>
            </w:tcBorders>
            <w:hideMark/>
          </w:tcPr>
          <w:p w14:paraId="036FE84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opakujících ročník v ZŠ</w:t>
            </w:r>
          </w:p>
        </w:tc>
        <w:tc>
          <w:tcPr>
            <w:tcW w:w="666" w:type="pct"/>
            <w:tcBorders>
              <w:top w:val="single" w:sz="4" w:space="0" w:color="8ED973"/>
              <w:left w:val="nil"/>
              <w:bottom w:val="nil"/>
              <w:right w:val="nil"/>
            </w:tcBorders>
            <w:noWrap/>
            <w:hideMark/>
          </w:tcPr>
          <w:p w14:paraId="772DA77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2D7EF76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Opakování ročníku</w:t>
            </w:r>
          </w:p>
        </w:tc>
        <w:tc>
          <w:tcPr>
            <w:tcW w:w="557" w:type="pct"/>
            <w:tcBorders>
              <w:top w:val="single" w:sz="4" w:space="0" w:color="8ED973"/>
              <w:left w:val="nil"/>
              <w:bottom w:val="nil"/>
              <w:right w:val="nil"/>
            </w:tcBorders>
            <w:noWrap/>
            <w:hideMark/>
          </w:tcPr>
          <w:p w14:paraId="7AE6A6B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D96114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26F3E11" w14:textId="77777777" w:rsidTr="009A58B0">
        <w:trPr>
          <w:trHeight w:val="290"/>
        </w:trPr>
        <w:tc>
          <w:tcPr>
            <w:tcW w:w="2355" w:type="pct"/>
            <w:tcBorders>
              <w:top w:val="single" w:sz="4" w:space="0" w:color="8ED973"/>
              <w:left w:val="single" w:sz="4" w:space="0" w:color="4EA72E"/>
              <w:bottom w:val="nil"/>
              <w:right w:val="nil"/>
            </w:tcBorders>
            <w:hideMark/>
          </w:tcPr>
          <w:p w14:paraId="78B1D84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opakujících ročník na 1. stupni ZŠ</w:t>
            </w:r>
          </w:p>
        </w:tc>
        <w:tc>
          <w:tcPr>
            <w:tcW w:w="666" w:type="pct"/>
            <w:tcBorders>
              <w:top w:val="single" w:sz="4" w:space="0" w:color="8ED973"/>
              <w:left w:val="nil"/>
              <w:bottom w:val="nil"/>
              <w:right w:val="nil"/>
            </w:tcBorders>
            <w:noWrap/>
            <w:hideMark/>
          </w:tcPr>
          <w:p w14:paraId="59C3F23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4D30111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Opakování ročníku</w:t>
            </w:r>
          </w:p>
        </w:tc>
        <w:tc>
          <w:tcPr>
            <w:tcW w:w="557" w:type="pct"/>
            <w:tcBorders>
              <w:top w:val="single" w:sz="4" w:space="0" w:color="8ED973"/>
              <w:left w:val="nil"/>
              <w:bottom w:val="nil"/>
              <w:right w:val="nil"/>
            </w:tcBorders>
            <w:noWrap/>
            <w:hideMark/>
          </w:tcPr>
          <w:p w14:paraId="480D0C9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7A8667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650D933" w14:textId="77777777" w:rsidTr="009A58B0">
        <w:trPr>
          <w:trHeight w:val="290"/>
        </w:trPr>
        <w:tc>
          <w:tcPr>
            <w:tcW w:w="2355" w:type="pct"/>
            <w:tcBorders>
              <w:top w:val="single" w:sz="4" w:space="0" w:color="8ED973"/>
              <w:left w:val="single" w:sz="4" w:space="0" w:color="4EA72E"/>
              <w:bottom w:val="nil"/>
              <w:right w:val="nil"/>
            </w:tcBorders>
            <w:hideMark/>
          </w:tcPr>
          <w:p w14:paraId="10ACE86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absolventů ZŠ, kteří v daném roce nepokračují na SŠ nebo konzervatoři</w:t>
            </w:r>
          </w:p>
        </w:tc>
        <w:tc>
          <w:tcPr>
            <w:tcW w:w="666" w:type="pct"/>
            <w:tcBorders>
              <w:top w:val="single" w:sz="4" w:space="0" w:color="8ED973"/>
              <w:left w:val="nil"/>
              <w:bottom w:val="nil"/>
              <w:right w:val="nil"/>
            </w:tcBorders>
            <w:noWrap/>
            <w:hideMark/>
          </w:tcPr>
          <w:p w14:paraId="545D2D5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15A0F54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Předčasné odchody</w:t>
            </w:r>
          </w:p>
        </w:tc>
        <w:tc>
          <w:tcPr>
            <w:tcW w:w="557" w:type="pct"/>
            <w:tcBorders>
              <w:top w:val="single" w:sz="4" w:space="0" w:color="8ED973"/>
              <w:left w:val="nil"/>
              <w:bottom w:val="nil"/>
              <w:right w:val="nil"/>
            </w:tcBorders>
            <w:noWrap/>
            <w:hideMark/>
          </w:tcPr>
          <w:p w14:paraId="5AEDEDF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74CE384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49464283" w14:textId="77777777" w:rsidTr="009A58B0">
        <w:trPr>
          <w:trHeight w:val="290"/>
        </w:trPr>
        <w:tc>
          <w:tcPr>
            <w:tcW w:w="2355" w:type="pct"/>
            <w:tcBorders>
              <w:top w:val="single" w:sz="4" w:space="0" w:color="8ED973"/>
              <w:left w:val="single" w:sz="4" w:space="0" w:color="4EA72E"/>
              <w:bottom w:val="nil"/>
              <w:right w:val="nil"/>
            </w:tcBorders>
            <w:hideMark/>
          </w:tcPr>
          <w:p w14:paraId="06A94D6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odcházejících ze středního vzdělávání během prvního roku studia</w:t>
            </w:r>
          </w:p>
        </w:tc>
        <w:tc>
          <w:tcPr>
            <w:tcW w:w="666" w:type="pct"/>
            <w:tcBorders>
              <w:top w:val="single" w:sz="4" w:space="0" w:color="8ED973"/>
              <w:left w:val="nil"/>
              <w:bottom w:val="nil"/>
              <w:right w:val="nil"/>
            </w:tcBorders>
            <w:noWrap/>
            <w:hideMark/>
          </w:tcPr>
          <w:p w14:paraId="280A192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2674506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Předčasné odchody</w:t>
            </w:r>
          </w:p>
        </w:tc>
        <w:tc>
          <w:tcPr>
            <w:tcW w:w="557" w:type="pct"/>
            <w:tcBorders>
              <w:top w:val="single" w:sz="4" w:space="0" w:color="8ED973"/>
              <w:left w:val="nil"/>
              <w:bottom w:val="nil"/>
              <w:right w:val="nil"/>
            </w:tcBorders>
            <w:noWrap/>
            <w:hideMark/>
          </w:tcPr>
          <w:p w14:paraId="573E3C3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0998E2E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4652FA72" w14:textId="77777777" w:rsidTr="009A58B0">
        <w:trPr>
          <w:trHeight w:val="290"/>
        </w:trPr>
        <w:tc>
          <w:tcPr>
            <w:tcW w:w="2355" w:type="pct"/>
            <w:tcBorders>
              <w:top w:val="single" w:sz="4" w:space="0" w:color="8ED973"/>
              <w:left w:val="single" w:sz="4" w:space="0" w:color="4EA72E"/>
              <w:bottom w:val="nil"/>
              <w:right w:val="nil"/>
            </w:tcBorders>
            <w:hideMark/>
          </w:tcPr>
          <w:p w14:paraId="2772801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lastRenderedPageBreak/>
              <w:t>Podíl žáků odcházejících ze středoškolského vzdělání po dokončení prvního ročníku</w:t>
            </w:r>
          </w:p>
        </w:tc>
        <w:tc>
          <w:tcPr>
            <w:tcW w:w="666" w:type="pct"/>
            <w:tcBorders>
              <w:top w:val="single" w:sz="4" w:space="0" w:color="8ED973"/>
              <w:left w:val="nil"/>
              <w:bottom w:val="nil"/>
              <w:right w:val="nil"/>
            </w:tcBorders>
            <w:noWrap/>
            <w:hideMark/>
          </w:tcPr>
          <w:p w14:paraId="6EA7FC4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3D85B2B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Předčasné odchody</w:t>
            </w:r>
          </w:p>
        </w:tc>
        <w:tc>
          <w:tcPr>
            <w:tcW w:w="557" w:type="pct"/>
            <w:tcBorders>
              <w:top w:val="single" w:sz="4" w:space="0" w:color="8ED973"/>
              <w:left w:val="nil"/>
              <w:bottom w:val="nil"/>
              <w:right w:val="nil"/>
            </w:tcBorders>
            <w:noWrap/>
            <w:hideMark/>
          </w:tcPr>
          <w:p w14:paraId="4D25F39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43FFC5C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2371E74E" w14:textId="77777777" w:rsidTr="009A58B0">
        <w:trPr>
          <w:trHeight w:val="520"/>
        </w:trPr>
        <w:tc>
          <w:tcPr>
            <w:tcW w:w="2355" w:type="pct"/>
            <w:tcBorders>
              <w:top w:val="single" w:sz="4" w:space="0" w:color="8ED973"/>
              <w:left w:val="single" w:sz="4" w:space="0" w:color="4EA72E"/>
              <w:bottom w:val="nil"/>
              <w:right w:val="nil"/>
            </w:tcBorders>
            <w:hideMark/>
          </w:tcPr>
          <w:p w14:paraId="785EC61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odcházející ze základní školy bez dosaženého stupně vzdělání v</w:t>
            </w:r>
            <w:r>
              <w:rPr>
                <w:rFonts w:eastAsia="Times New Roman" w:cs="Calibri"/>
                <w:color w:val="000000"/>
                <w:sz w:val="20"/>
                <w:szCs w:val="20"/>
                <w:lang w:eastAsia="cs-CZ"/>
              </w:rPr>
              <w:t> </w:t>
            </w:r>
            <w:r w:rsidRPr="00241ECC">
              <w:rPr>
                <w:rFonts w:eastAsia="Times New Roman" w:cs="Calibri"/>
                <w:color w:val="000000"/>
                <w:sz w:val="20"/>
                <w:szCs w:val="20"/>
                <w:lang w:eastAsia="cs-CZ"/>
              </w:rPr>
              <w:t>oboru Základní škola</w:t>
            </w:r>
          </w:p>
        </w:tc>
        <w:tc>
          <w:tcPr>
            <w:tcW w:w="666" w:type="pct"/>
            <w:tcBorders>
              <w:top w:val="single" w:sz="4" w:space="0" w:color="8ED973"/>
              <w:left w:val="nil"/>
              <w:bottom w:val="nil"/>
              <w:right w:val="nil"/>
            </w:tcBorders>
            <w:noWrap/>
            <w:hideMark/>
          </w:tcPr>
          <w:p w14:paraId="66E383E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Výsledky vzdělávání</w:t>
            </w:r>
          </w:p>
        </w:tc>
        <w:tc>
          <w:tcPr>
            <w:tcW w:w="1132" w:type="pct"/>
            <w:tcBorders>
              <w:top w:val="single" w:sz="4" w:space="0" w:color="8ED973"/>
              <w:left w:val="nil"/>
              <w:bottom w:val="nil"/>
              <w:right w:val="nil"/>
            </w:tcBorders>
            <w:noWrap/>
            <w:hideMark/>
          </w:tcPr>
          <w:p w14:paraId="414728E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Předčasné odchody</w:t>
            </w:r>
          </w:p>
        </w:tc>
        <w:tc>
          <w:tcPr>
            <w:tcW w:w="557" w:type="pct"/>
            <w:tcBorders>
              <w:top w:val="single" w:sz="4" w:space="0" w:color="8ED973"/>
              <w:left w:val="nil"/>
              <w:bottom w:val="nil"/>
              <w:right w:val="nil"/>
            </w:tcBorders>
            <w:noWrap/>
            <w:hideMark/>
          </w:tcPr>
          <w:p w14:paraId="61F806E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032E54A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71A27D1F" w14:textId="77777777" w:rsidTr="009A58B0">
        <w:trPr>
          <w:trHeight w:val="290"/>
        </w:trPr>
        <w:tc>
          <w:tcPr>
            <w:tcW w:w="2355" w:type="pct"/>
            <w:tcBorders>
              <w:top w:val="single" w:sz="4" w:space="0" w:color="8ED973"/>
              <w:left w:val="single" w:sz="4" w:space="0" w:color="4EA72E"/>
              <w:bottom w:val="nil"/>
              <w:right w:val="nil"/>
            </w:tcBorders>
            <w:hideMark/>
          </w:tcPr>
          <w:p w14:paraId="63C3590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počítačů (přístupných žákům) na 100 žáků SŠ</w:t>
            </w:r>
          </w:p>
        </w:tc>
        <w:tc>
          <w:tcPr>
            <w:tcW w:w="666" w:type="pct"/>
            <w:tcBorders>
              <w:top w:val="single" w:sz="4" w:space="0" w:color="8ED973"/>
              <w:left w:val="nil"/>
              <w:bottom w:val="nil"/>
              <w:right w:val="nil"/>
            </w:tcBorders>
            <w:noWrap/>
            <w:hideMark/>
          </w:tcPr>
          <w:p w14:paraId="583A58A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Výuka</w:t>
            </w:r>
          </w:p>
        </w:tc>
        <w:tc>
          <w:tcPr>
            <w:tcW w:w="1132" w:type="pct"/>
            <w:tcBorders>
              <w:top w:val="single" w:sz="4" w:space="0" w:color="8ED973"/>
              <w:left w:val="nil"/>
              <w:bottom w:val="nil"/>
              <w:right w:val="nil"/>
            </w:tcBorders>
            <w:noWrap/>
            <w:hideMark/>
          </w:tcPr>
          <w:p w14:paraId="5167B79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ICT</w:t>
            </w:r>
          </w:p>
        </w:tc>
        <w:tc>
          <w:tcPr>
            <w:tcW w:w="557" w:type="pct"/>
            <w:tcBorders>
              <w:top w:val="single" w:sz="4" w:space="0" w:color="8ED973"/>
              <w:left w:val="nil"/>
              <w:bottom w:val="nil"/>
              <w:right w:val="nil"/>
            </w:tcBorders>
            <w:noWrap/>
            <w:hideMark/>
          </w:tcPr>
          <w:p w14:paraId="12FBDDA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SŠ</w:t>
            </w:r>
          </w:p>
        </w:tc>
        <w:tc>
          <w:tcPr>
            <w:tcW w:w="291" w:type="pct"/>
            <w:tcBorders>
              <w:top w:val="single" w:sz="4" w:space="0" w:color="8ED973"/>
              <w:left w:val="nil"/>
              <w:bottom w:val="nil"/>
              <w:right w:val="single" w:sz="4" w:space="0" w:color="4EA72E"/>
            </w:tcBorders>
            <w:noWrap/>
            <w:hideMark/>
          </w:tcPr>
          <w:p w14:paraId="6373EEF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5550F97E" w14:textId="77777777" w:rsidTr="009A58B0">
        <w:trPr>
          <w:trHeight w:val="290"/>
        </w:trPr>
        <w:tc>
          <w:tcPr>
            <w:tcW w:w="2355" w:type="pct"/>
            <w:tcBorders>
              <w:top w:val="single" w:sz="4" w:space="0" w:color="8ED973"/>
              <w:left w:val="single" w:sz="4" w:space="0" w:color="4EA72E"/>
              <w:bottom w:val="nil"/>
              <w:right w:val="nil"/>
            </w:tcBorders>
            <w:hideMark/>
          </w:tcPr>
          <w:p w14:paraId="01A70BD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počítačů (přístupných žákům) na 100 žáků 1. stupně ZŠ</w:t>
            </w:r>
          </w:p>
        </w:tc>
        <w:tc>
          <w:tcPr>
            <w:tcW w:w="666" w:type="pct"/>
            <w:tcBorders>
              <w:top w:val="single" w:sz="4" w:space="0" w:color="8ED973"/>
              <w:left w:val="nil"/>
              <w:bottom w:val="nil"/>
              <w:right w:val="nil"/>
            </w:tcBorders>
            <w:noWrap/>
            <w:hideMark/>
          </w:tcPr>
          <w:p w14:paraId="007E216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Výuka</w:t>
            </w:r>
          </w:p>
        </w:tc>
        <w:tc>
          <w:tcPr>
            <w:tcW w:w="1132" w:type="pct"/>
            <w:tcBorders>
              <w:top w:val="single" w:sz="4" w:space="0" w:color="8ED973"/>
              <w:left w:val="nil"/>
              <w:bottom w:val="nil"/>
              <w:right w:val="nil"/>
            </w:tcBorders>
            <w:noWrap/>
            <w:hideMark/>
          </w:tcPr>
          <w:p w14:paraId="01D5492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ICT</w:t>
            </w:r>
          </w:p>
        </w:tc>
        <w:tc>
          <w:tcPr>
            <w:tcW w:w="557" w:type="pct"/>
            <w:tcBorders>
              <w:top w:val="single" w:sz="4" w:space="0" w:color="8ED973"/>
              <w:left w:val="nil"/>
              <w:bottom w:val="nil"/>
              <w:right w:val="nil"/>
            </w:tcBorders>
            <w:noWrap/>
            <w:hideMark/>
          </w:tcPr>
          <w:p w14:paraId="6E63905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CA4B21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78B4FCD4" w14:textId="77777777" w:rsidTr="009A58B0">
        <w:trPr>
          <w:trHeight w:val="290"/>
        </w:trPr>
        <w:tc>
          <w:tcPr>
            <w:tcW w:w="2355" w:type="pct"/>
            <w:tcBorders>
              <w:top w:val="single" w:sz="4" w:space="0" w:color="8ED973"/>
              <w:left w:val="single" w:sz="4" w:space="0" w:color="4EA72E"/>
              <w:bottom w:val="nil"/>
              <w:right w:val="nil"/>
            </w:tcBorders>
            <w:hideMark/>
          </w:tcPr>
          <w:p w14:paraId="1E80283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Počet počítačů (přístupných žákům) na 100 žáků 2. stupně ZŠ</w:t>
            </w:r>
          </w:p>
        </w:tc>
        <w:tc>
          <w:tcPr>
            <w:tcW w:w="666" w:type="pct"/>
            <w:tcBorders>
              <w:top w:val="single" w:sz="4" w:space="0" w:color="8ED973"/>
              <w:left w:val="nil"/>
              <w:bottom w:val="nil"/>
              <w:right w:val="nil"/>
            </w:tcBorders>
            <w:noWrap/>
            <w:hideMark/>
          </w:tcPr>
          <w:p w14:paraId="3593D73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Výuka</w:t>
            </w:r>
          </w:p>
        </w:tc>
        <w:tc>
          <w:tcPr>
            <w:tcW w:w="1132" w:type="pct"/>
            <w:tcBorders>
              <w:top w:val="single" w:sz="4" w:space="0" w:color="8ED973"/>
              <w:left w:val="nil"/>
              <w:bottom w:val="nil"/>
              <w:right w:val="nil"/>
            </w:tcBorders>
            <w:noWrap/>
            <w:hideMark/>
          </w:tcPr>
          <w:p w14:paraId="03B34D6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ICT</w:t>
            </w:r>
          </w:p>
        </w:tc>
        <w:tc>
          <w:tcPr>
            <w:tcW w:w="557" w:type="pct"/>
            <w:tcBorders>
              <w:top w:val="single" w:sz="4" w:space="0" w:color="8ED973"/>
              <w:left w:val="nil"/>
              <w:bottom w:val="nil"/>
              <w:right w:val="nil"/>
            </w:tcBorders>
            <w:noWrap/>
            <w:hideMark/>
          </w:tcPr>
          <w:p w14:paraId="10ACBFF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E4CF08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296EF507" w14:textId="77777777" w:rsidTr="009A58B0">
        <w:trPr>
          <w:trHeight w:val="290"/>
        </w:trPr>
        <w:tc>
          <w:tcPr>
            <w:tcW w:w="2355" w:type="pct"/>
            <w:tcBorders>
              <w:top w:val="single" w:sz="4" w:space="0" w:color="8ED973"/>
              <w:left w:val="single" w:sz="4" w:space="0" w:color="4EA72E"/>
              <w:bottom w:val="nil"/>
              <w:right w:val="nil"/>
            </w:tcBorders>
            <w:hideMark/>
          </w:tcPr>
          <w:p w14:paraId="5254464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4. tříd ZŠ s excelentními výsledky v testech čtenářských dovedností (PIRLS)</w:t>
            </w:r>
          </w:p>
        </w:tc>
        <w:tc>
          <w:tcPr>
            <w:tcW w:w="666" w:type="pct"/>
            <w:tcBorders>
              <w:top w:val="single" w:sz="4" w:space="0" w:color="8ED973"/>
              <w:left w:val="nil"/>
              <w:bottom w:val="nil"/>
              <w:right w:val="nil"/>
            </w:tcBorders>
            <w:noWrap/>
            <w:hideMark/>
          </w:tcPr>
          <w:p w14:paraId="0618F5F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06A125A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6F2F3DF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0269A1C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457077B8" w14:textId="77777777" w:rsidTr="009A58B0">
        <w:trPr>
          <w:trHeight w:val="290"/>
        </w:trPr>
        <w:tc>
          <w:tcPr>
            <w:tcW w:w="2355" w:type="pct"/>
            <w:tcBorders>
              <w:top w:val="single" w:sz="4" w:space="0" w:color="8ED973"/>
              <w:left w:val="single" w:sz="4" w:space="0" w:color="4EA72E"/>
              <w:bottom w:val="nil"/>
              <w:right w:val="nil"/>
            </w:tcBorders>
            <w:hideMark/>
          </w:tcPr>
          <w:p w14:paraId="20BAE2D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4. tříd ZŠ s excelentními výsledky v testech matematických dovedností (TIMSS)</w:t>
            </w:r>
          </w:p>
        </w:tc>
        <w:tc>
          <w:tcPr>
            <w:tcW w:w="666" w:type="pct"/>
            <w:tcBorders>
              <w:top w:val="single" w:sz="4" w:space="0" w:color="8ED973"/>
              <w:left w:val="nil"/>
              <w:bottom w:val="nil"/>
              <w:right w:val="nil"/>
            </w:tcBorders>
            <w:noWrap/>
            <w:hideMark/>
          </w:tcPr>
          <w:p w14:paraId="3C9C2B2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4E30CFC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41A0309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974807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3B20870C" w14:textId="77777777" w:rsidTr="009A58B0">
        <w:trPr>
          <w:trHeight w:val="290"/>
        </w:trPr>
        <w:tc>
          <w:tcPr>
            <w:tcW w:w="2355" w:type="pct"/>
            <w:tcBorders>
              <w:top w:val="single" w:sz="4" w:space="0" w:color="8ED973"/>
              <w:left w:val="single" w:sz="4" w:space="0" w:color="4EA72E"/>
              <w:bottom w:val="nil"/>
              <w:right w:val="nil"/>
            </w:tcBorders>
            <w:hideMark/>
          </w:tcPr>
          <w:p w14:paraId="06ADB3A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4. tříd ZŠ s excelentními výsledky v testech přírodovědných dovedností (TIMSS)</w:t>
            </w:r>
          </w:p>
        </w:tc>
        <w:tc>
          <w:tcPr>
            <w:tcW w:w="666" w:type="pct"/>
            <w:tcBorders>
              <w:top w:val="single" w:sz="4" w:space="0" w:color="8ED973"/>
              <w:left w:val="nil"/>
              <w:bottom w:val="nil"/>
              <w:right w:val="nil"/>
            </w:tcBorders>
            <w:noWrap/>
            <w:hideMark/>
          </w:tcPr>
          <w:p w14:paraId="50D2A18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3B8C96C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1B815A7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4C78389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BB3EF68" w14:textId="77777777" w:rsidTr="009A58B0">
        <w:trPr>
          <w:trHeight w:val="290"/>
        </w:trPr>
        <w:tc>
          <w:tcPr>
            <w:tcW w:w="2355" w:type="pct"/>
            <w:tcBorders>
              <w:top w:val="single" w:sz="4" w:space="0" w:color="8ED973"/>
              <w:left w:val="single" w:sz="4" w:space="0" w:color="4EA72E"/>
              <w:bottom w:val="nil"/>
              <w:right w:val="nil"/>
            </w:tcBorders>
            <w:hideMark/>
          </w:tcPr>
          <w:p w14:paraId="69E9B10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ZŠ s excelentními výsledky v testech čtenářské gramotnosti (PISA)</w:t>
            </w:r>
          </w:p>
        </w:tc>
        <w:tc>
          <w:tcPr>
            <w:tcW w:w="666" w:type="pct"/>
            <w:tcBorders>
              <w:top w:val="single" w:sz="4" w:space="0" w:color="8ED973"/>
              <w:left w:val="nil"/>
              <w:bottom w:val="nil"/>
              <w:right w:val="nil"/>
            </w:tcBorders>
            <w:noWrap/>
            <w:hideMark/>
          </w:tcPr>
          <w:p w14:paraId="453A0375"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5DA3812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649DE93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 SŠ</w:t>
            </w:r>
          </w:p>
        </w:tc>
        <w:tc>
          <w:tcPr>
            <w:tcW w:w="291" w:type="pct"/>
            <w:tcBorders>
              <w:top w:val="single" w:sz="4" w:space="0" w:color="8ED973"/>
              <w:left w:val="nil"/>
              <w:bottom w:val="nil"/>
              <w:right w:val="single" w:sz="4" w:space="0" w:color="4EA72E"/>
            </w:tcBorders>
            <w:noWrap/>
            <w:hideMark/>
          </w:tcPr>
          <w:p w14:paraId="1907CF9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w:t>
            </w:r>
          </w:p>
        </w:tc>
      </w:tr>
      <w:tr w:rsidR="0024586E" w:rsidRPr="00241ECC" w14:paraId="590FE616" w14:textId="77777777" w:rsidTr="009A58B0">
        <w:trPr>
          <w:trHeight w:val="290"/>
        </w:trPr>
        <w:tc>
          <w:tcPr>
            <w:tcW w:w="2355" w:type="pct"/>
            <w:tcBorders>
              <w:top w:val="single" w:sz="4" w:space="0" w:color="8ED973"/>
              <w:left w:val="single" w:sz="4" w:space="0" w:color="4EA72E"/>
              <w:bottom w:val="nil"/>
              <w:right w:val="nil"/>
            </w:tcBorders>
            <w:hideMark/>
          </w:tcPr>
          <w:p w14:paraId="20F445E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8. tříd ZŠ s excelentními výsledky v testech matematických dovedností (TIMSS)</w:t>
            </w:r>
          </w:p>
        </w:tc>
        <w:tc>
          <w:tcPr>
            <w:tcW w:w="666" w:type="pct"/>
            <w:tcBorders>
              <w:top w:val="single" w:sz="4" w:space="0" w:color="8ED973"/>
              <w:left w:val="nil"/>
              <w:bottom w:val="nil"/>
              <w:right w:val="nil"/>
            </w:tcBorders>
            <w:noWrap/>
            <w:hideMark/>
          </w:tcPr>
          <w:p w14:paraId="562B19BE"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4E8771E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3D2989A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D91AFB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2</w:t>
            </w:r>
          </w:p>
        </w:tc>
      </w:tr>
      <w:tr w:rsidR="0024586E" w:rsidRPr="00241ECC" w14:paraId="52FFD11A" w14:textId="77777777" w:rsidTr="009A58B0">
        <w:trPr>
          <w:trHeight w:val="290"/>
        </w:trPr>
        <w:tc>
          <w:tcPr>
            <w:tcW w:w="2355" w:type="pct"/>
            <w:tcBorders>
              <w:top w:val="single" w:sz="4" w:space="0" w:color="8ED973"/>
              <w:left w:val="single" w:sz="4" w:space="0" w:color="4EA72E"/>
              <w:bottom w:val="nil"/>
              <w:right w:val="nil"/>
            </w:tcBorders>
            <w:hideMark/>
          </w:tcPr>
          <w:p w14:paraId="51FAC0B8"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8. tříd ZŠ s excelentními výsledky v testech přírodovědných dovedností (TIMSS)</w:t>
            </w:r>
          </w:p>
        </w:tc>
        <w:tc>
          <w:tcPr>
            <w:tcW w:w="666" w:type="pct"/>
            <w:tcBorders>
              <w:top w:val="single" w:sz="4" w:space="0" w:color="8ED973"/>
              <w:left w:val="nil"/>
              <w:bottom w:val="nil"/>
              <w:right w:val="nil"/>
            </w:tcBorders>
            <w:noWrap/>
            <w:hideMark/>
          </w:tcPr>
          <w:p w14:paraId="1BC02DC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36AA254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386609A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3D8C860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2</w:t>
            </w:r>
          </w:p>
        </w:tc>
      </w:tr>
      <w:tr w:rsidR="0024586E" w:rsidRPr="00241ECC" w14:paraId="15C9F2B5" w14:textId="77777777" w:rsidTr="009A58B0">
        <w:trPr>
          <w:trHeight w:val="520"/>
        </w:trPr>
        <w:tc>
          <w:tcPr>
            <w:tcW w:w="2355" w:type="pct"/>
            <w:tcBorders>
              <w:top w:val="single" w:sz="4" w:space="0" w:color="8ED973"/>
              <w:left w:val="single" w:sz="4" w:space="0" w:color="4EA72E"/>
              <w:bottom w:val="nil"/>
              <w:right w:val="nil"/>
            </w:tcBorders>
            <w:hideMark/>
          </w:tcPr>
          <w:p w14:paraId="3B05C29D"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4. tříd ZŠ s nedostatečnými výsledky v testech matematických dovedností (TIMSS)</w:t>
            </w:r>
          </w:p>
        </w:tc>
        <w:tc>
          <w:tcPr>
            <w:tcW w:w="666" w:type="pct"/>
            <w:tcBorders>
              <w:top w:val="single" w:sz="4" w:space="0" w:color="8ED973"/>
              <w:left w:val="nil"/>
              <w:bottom w:val="nil"/>
              <w:right w:val="nil"/>
            </w:tcBorders>
            <w:noWrap/>
            <w:hideMark/>
          </w:tcPr>
          <w:p w14:paraId="6707D7A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32E8FA9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2EE2FD7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5522094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199D1DAC" w14:textId="77777777" w:rsidTr="009A58B0">
        <w:trPr>
          <w:trHeight w:val="520"/>
        </w:trPr>
        <w:tc>
          <w:tcPr>
            <w:tcW w:w="2355" w:type="pct"/>
            <w:tcBorders>
              <w:top w:val="single" w:sz="4" w:space="0" w:color="8ED973"/>
              <w:left w:val="single" w:sz="4" w:space="0" w:color="4EA72E"/>
              <w:bottom w:val="nil"/>
              <w:right w:val="nil"/>
            </w:tcBorders>
            <w:hideMark/>
          </w:tcPr>
          <w:p w14:paraId="7F70D96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4. tříd ZŠ s nedostatečnými výsledky v testech přírodovědných dovedností (TIMSS)</w:t>
            </w:r>
          </w:p>
        </w:tc>
        <w:tc>
          <w:tcPr>
            <w:tcW w:w="666" w:type="pct"/>
            <w:tcBorders>
              <w:top w:val="single" w:sz="4" w:space="0" w:color="8ED973"/>
              <w:left w:val="nil"/>
              <w:bottom w:val="nil"/>
              <w:right w:val="nil"/>
            </w:tcBorders>
            <w:noWrap/>
            <w:hideMark/>
          </w:tcPr>
          <w:p w14:paraId="2751217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6E7E363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7AF391B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6D2AAF8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4709ACEB" w14:textId="77777777" w:rsidTr="009A58B0">
        <w:trPr>
          <w:trHeight w:val="290"/>
        </w:trPr>
        <w:tc>
          <w:tcPr>
            <w:tcW w:w="2355" w:type="pct"/>
            <w:tcBorders>
              <w:top w:val="single" w:sz="4" w:space="0" w:color="8ED973"/>
              <w:left w:val="single" w:sz="4" w:space="0" w:color="4EA72E"/>
              <w:bottom w:val="nil"/>
              <w:right w:val="nil"/>
            </w:tcBorders>
            <w:hideMark/>
          </w:tcPr>
          <w:p w14:paraId="3B880F8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ZŠ s nedostatečnými výsledky v testech čtenářské gramotnosti (PISA)</w:t>
            </w:r>
          </w:p>
        </w:tc>
        <w:tc>
          <w:tcPr>
            <w:tcW w:w="666" w:type="pct"/>
            <w:tcBorders>
              <w:top w:val="single" w:sz="4" w:space="0" w:color="8ED973"/>
              <w:left w:val="nil"/>
              <w:bottom w:val="nil"/>
              <w:right w:val="nil"/>
            </w:tcBorders>
            <w:noWrap/>
            <w:hideMark/>
          </w:tcPr>
          <w:p w14:paraId="6DC9534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5F8DFBA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64FC1C8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 SŠ</w:t>
            </w:r>
          </w:p>
        </w:tc>
        <w:tc>
          <w:tcPr>
            <w:tcW w:w="291" w:type="pct"/>
            <w:tcBorders>
              <w:top w:val="single" w:sz="4" w:space="0" w:color="8ED973"/>
              <w:left w:val="nil"/>
              <w:bottom w:val="nil"/>
              <w:right w:val="single" w:sz="4" w:space="0" w:color="4EA72E"/>
            </w:tcBorders>
            <w:noWrap/>
            <w:hideMark/>
          </w:tcPr>
          <w:p w14:paraId="36DFE96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4EFC6601" w14:textId="77777777" w:rsidTr="009A58B0">
        <w:trPr>
          <w:trHeight w:val="290"/>
        </w:trPr>
        <w:tc>
          <w:tcPr>
            <w:tcW w:w="2355" w:type="pct"/>
            <w:tcBorders>
              <w:top w:val="single" w:sz="4" w:space="0" w:color="8ED973"/>
              <w:left w:val="single" w:sz="4" w:space="0" w:color="4EA72E"/>
              <w:bottom w:val="nil"/>
              <w:right w:val="nil"/>
            </w:tcBorders>
            <w:hideMark/>
          </w:tcPr>
          <w:p w14:paraId="593B9C6B"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ZŠ s nedostatečnými výsledky v testech matematické gramotnosti (PISA)</w:t>
            </w:r>
          </w:p>
        </w:tc>
        <w:tc>
          <w:tcPr>
            <w:tcW w:w="666" w:type="pct"/>
            <w:tcBorders>
              <w:top w:val="single" w:sz="4" w:space="0" w:color="8ED973"/>
              <w:left w:val="nil"/>
              <w:bottom w:val="nil"/>
              <w:right w:val="nil"/>
            </w:tcBorders>
            <w:noWrap/>
            <w:hideMark/>
          </w:tcPr>
          <w:p w14:paraId="5EECA809"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37F7421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23AEC6D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 SŠ</w:t>
            </w:r>
          </w:p>
        </w:tc>
        <w:tc>
          <w:tcPr>
            <w:tcW w:w="291" w:type="pct"/>
            <w:tcBorders>
              <w:top w:val="single" w:sz="4" w:space="0" w:color="8ED973"/>
              <w:left w:val="nil"/>
              <w:bottom w:val="nil"/>
              <w:right w:val="single" w:sz="4" w:space="0" w:color="4EA72E"/>
            </w:tcBorders>
            <w:noWrap/>
            <w:hideMark/>
          </w:tcPr>
          <w:p w14:paraId="030E19B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61DE5FD7" w14:textId="77777777" w:rsidTr="009A58B0">
        <w:trPr>
          <w:trHeight w:val="520"/>
        </w:trPr>
        <w:tc>
          <w:tcPr>
            <w:tcW w:w="2355" w:type="pct"/>
            <w:tcBorders>
              <w:top w:val="single" w:sz="4" w:space="0" w:color="8ED973"/>
              <w:left w:val="single" w:sz="4" w:space="0" w:color="4EA72E"/>
              <w:bottom w:val="nil"/>
              <w:right w:val="nil"/>
            </w:tcBorders>
            <w:hideMark/>
          </w:tcPr>
          <w:p w14:paraId="43E211E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8. tříd ZŠ s nedostatečnými výsledky v testech přírodovědných dovedností (TIMSS)</w:t>
            </w:r>
          </w:p>
        </w:tc>
        <w:tc>
          <w:tcPr>
            <w:tcW w:w="666" w:type="pct"/>
            <w:tcBorders>
              <w:top w:val="single" w:sz="4" w:space="0" w:color="8ED973"/>
              <w:left w:val="nil"/>
              <w:bottom w:val="nil"/>
              <w:right w:val="nil"/>
            </w:tcBorders>
            <w:noWrap/>
            <w:hideMark/>
          </w:tcPr>
          <w:p w14:paraId="52D4A33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4286D4A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499878FC"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9663A7A"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13</w:t>
            </w:r>
          </w:p>
        </w:tc>
      </w:tr>
      <w:tr w:rsidR="0024586E" w:rsidRPr="00241ECC" w14:paraId="6742902F" w14:textId="77777777" w:rsidTr="009A58B0">
        <w:trPr>
          <w:trHeight w:val="290"/>
        </w:trPr>
        <w:tc>
          <w:tcPr>
            <w:tcW w:w="2355" w:type="pct"/>
            <w:tcBorders>
              <w:top w:val="single" w:sz="4" w:space="0" w:color="8ED973"/>
              <w:left w:val="single" w:sz="4" w:space="0" w:color="4EA72E"/>
              <w:bottom w:val="nil"/>
              <w:right w:val="nil"/>
            </w:tcBorders>
            <w:hideMark/>
          </w:tcPr>
          <w:p w14:paraId="2B0FAF5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4. tříd ZŠ s nedostatečnými výsledky v testech čtenářských dovedností (PIRLS)</w:t>
            </w:r>
          </w:p>
        </w:tc>
        <w:tc>
          <w:tcPr>
            <w:tcW w:w="666" w:type="pct"/>
            <w:tcBorders>
              <w:top w:val="single" w:sz="4" w:space="0" w:color="8ED973"/>
              <w:left w:val="nil"/>
              <w:bottom w:val="nil"/>
              <w:right w:val="nil"/>
            </w:tcBorders>
            <w:noWrap/>
            <w:hideMark/>
          </w:tcPr>
          <w:p w14:paraId="13C5AC11"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nil"/>
              <w:right w:val="nil"/>
            </w:tcBorders>
            <w:noWrap/>
            <w:hideMark/>
          </w:tcPr>
          <w:p w14:paraId="2166C266"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nil"/>
              <w:right w:val="nil"/>
            </w:tcBorders>
            <w:noWrap/>
            <w:hideMark/>
          </w:tcPr>
          <w:p w14:paraId="7E3C7BB2"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nil"/>
              <w:right w:val="single" w:sz="4" w:space="0" w:color="4EA72E"/>
            </w:tcBorders>
            <w:noWrap/>
            <w:hideMark/>
          </w:tcPr>
          <w:p w14:paraId="71626827"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r w:rsidR="0024586E" w:rsidRPr="00241ECC" w14:paraId="5E79A378" w14:textId="77777777" w:rsidTr="009A58B0">
        <w:trPr>
          <w:trHeight w:val="520"/>
        </w:trPr>
        <w:tc>
          <w:tcPr>
            <w:tcW w:w="2355" w:type="pct"/>
            <w:tcBorders>
              <w:top w:val="single" w:sz="4" w:space="0" w:color="8ED973"/>
              <w:left w:val="single" w:sz="4" w:space="0" w:color="4EA72E"/>
              <w:bottom w:val="single" w:sz="4" w:space="0" w:color="4EA72E"/>
              <w:right w:val="nil"/>
            </w:tcBorders>
            <w:hideMark/>
          </w:tcPr>
          <w:p w14:paraId="7FA24A3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Podíl žáků 8. tříd ZŠ s nedostatečnými výsledky v testech matematických dovedností (TIMSS)</w:t>
            </w:r>
          </w:p>
        </w:tc>
        <w:tc>
          <w:tcPr>
            <w:tcW w:w="666" w:type="pct"/>
            <w:tcBorders>
              <w:top w:val="single" w:sz="4" w:space="0" w:color="8ED973"/>
              <w:left w:val="nil"/>
              <w:bottom w:val="single" w:sz="4" w:space="0" w:color="4EA72E"/>
              <w:right w:val="nil"/>
            </w:tcBorders>
            <w:noWrap/>
            <w:hideMark/>
          </w:tcPr>
          <w:p w14:paraId="100521F4"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Nerovnosti</w:t>
            </w:r>
          </w:p>
        </w:tc>
        <w:tc>
          <w:tcPr>
            <w:tcW w:w="1132" w:type="pct"/>
            <w:tcBorders>
              <w:top w:val="single" w:sz="4" w:space="0" w:color="8ED973"/>
              <w:left w:val="nil"/>
              <w:bottom w:val="single" w:sz="4" w:space="0" w:color="4EA72E"/>
              <w:right w:val="nil"/>
            </w:tcBorders>
            <w:noWrap/>
            <w:hideMark/>
          </w:tcPr>
          <w:p w14:paraId="2FF453B3"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Žáci v dovednostních úrovních</w:t>
            </w:r>
          </w:p>
        </w:tc>
        <w:tc>
          <w:tcPr>
            <w:tcW w:w="557" w:type="pct"/>
            <w:tcBorders>
              <w:top w:val="single" w:sz="4" w:space="0" w:color="8ED973"/>
              <w:left w:val="nil"/>
              <w:bottom w:val="single" w:sz="4" w:space="0" w:color="4EA72E"/>
              <w:right w:val="nil"/>
            </w:tcBorders>
            <w:noWrap/>
            <w:hideMark/>
          </w:tcPr>
          <w:p w14:paraId="4B3BCD7F"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ZŠ</w:t>
            </w:r>
          </w:p>
        </w:tc>
        <w:tc>
          <w:tcPr>
            <w:tcW w:w="291" w:type="pct"/>
            <w:tcBorders>
              <w:top w:val="single" w:sz="4" w:space="0" w:color="8ED973"/>
              <w:left w:val="nil"/>
              <w:bottom w:val="single" w:sz="4" w:space="0" w:color="4EA72E"/>
              <w:right w:val="single" w:sz="4" w:space="0" w:color="4EA72E"/>
            </w:tcBorders>
            <w:noWrap/>
            <w:hideMark/>
          </w:tcPr>
          <w:p w14:paraId="50476850" w14:textId="77777777" w:rsidR="0024586E" w:rsidRPr="00241ECC" w:rsidRDefault="0024586E" w:rsidP="009574F4">
            <w:pPr>
              <w:spacing w:after="0"/>
              <w:rPr>
                <w:rFonts w:eastAsia="Times New Roman" w:cs="Calibri"/>
                <w:color w:val="000000"/>
                <w:sz w:val="20"/>
                <w:szCs w:val="20"/>
                <w:lang w:eastAsia="cs-CZ"/>
              </w:rPr>
            </w:pPr>
            <w:r w:rsidRPr="00241ECC">
              <w:rPr>
                <w:rFonts w:eastAsia="Times New Roman" w:cs="Calibri"/>
                <w:color w:val="000000"/>
                <w:sz w:val="20"/>
                <w:szCs w:val="20"/>
                <w:lang w:eastAsia="cs-CZ"/>
              </w:rPr>
              <w:t>14</w:t>
            </w:r>
          </w:p>
        </w:tc>
      </w:tr>
    </w:tbl>
    <w:p w14:paraId="7B812DB3" w14:textId="77777777" w:rsidR="0024586E" w:rsidRDefault="0024586E" w:rsidP="0024586E">
      <w:pPr>
        <w:spacing w:line="276" w:lineRule="auto"/>
        <w:rPr>
          <w:b/>
          <w:bCs/>
        </w:rPr>
      </w:pPr>
    </w:p>
    <w:p w14:paraId="25C31694" w14:textId="77777777" w:rsidR="0024586E" w:rsidRPr="00417F26" w:rsidRDefault="0024586E" w:rsidP="0024586E">
      <w:pPr>
        <w:pStyle w:val="Nadpis4"/>
        <w:rPr>
          <w:b w:val="0"/>
        </w:rPr>
      </w:pPr>
      <w:r>
        <w:lastRenderedPageBreak/>
        <w:t>Středočeský kraj</w:t>
      </w:r>
    </w:p>
    <w:p w14:paraId="4845EAA1" w14:textId="77777777" w:rsidR="0024586E" w:rsidRPr="001F0046" w:rsidRDefault="0024586E" w:rsidP="0024586E">
      <w:pPr>
        <w:jc w:val="both"/>
      </w:pPr>
      <w:r>
        <w:t>Také ve Středočeském kraji mají pedagogičtí i nepedagogičtí pracovníci nízké platy v relaci k průměrné mzdě v kraji. Jsou zde vysoké počty dětí a žáků na učitele. Vysoké jsou podíly nekvalifikovaných učitelů v MŠ, ZŠ i SŠ, nízká je také aprobovanost výuky. Na úrovni mateřských škol je vysoký podíl dětí vzdělávaných v neveřejných školách. Nízký je podíl žáků středních škol v negymnaziálních oborech s maturitní zkouškou. Vysoký je podíl žáků, kteří aspirují na maturitní vzdělání. Podíl dětí ve speciálních třídách MŠ je nízký, naopak podíl žáků ve speciálních třídách SŠ je vysoký. Nízký je počet počítačů na žáka v základních školách. Na úrovni žáků 4. ročníku byla zaznamenána vysoký míra sounáležitosti se školou, naopak u patnáctiletých žáků je sounáležitost se školou v porovnání s ostatními kraji nízká. V oblasti výsledků vzdělávání se kraj od ostatních krajů zpravidla výrazně neodlišuje. V posledním šetření TIMSS měl kraj vysoký p</w:t>
      </w:r>
      <w:r w:rsidRPr="00442AA7">
        <w:t>odíl žáků 4. tříd ZŠ s excelentními výsledky v testech matematických dovedností</w:t>
      </w:r>
      <w:r>
        <w:t>.</w:t>
      </w:r>
      <w:r w:rsidRPr="00442AA7">
        <w:t xml:space="preserve"> </w:t>
      </w:r>
    </w:p>
    <w:tbl>
      <w:tblPr>
        <w:tblW w:w="5000" w:type="pct"/>
        <w:tblCellMar>
          <w:left w:w="70" w:type="dxa"/>
          <w:right w:w="70" w:type="dxa"/>
        </w:tblCellMar>
        <w:tblLook w:val="04A0" w:firstRow="1" w:lastRow="0" w:firstColumn="1" w:lastColumn="0" w:noHBand="0" w:noVBand="1"/>
      </w:tblPr>
      <w:tblGrid>
        <w:gridCol w:w="6783"/>
        <w:gridCol w:w="1853"/>
        <w:gridCol w:w="3295"/>
        <w:gridCol w:w="1545"/>
        <w:gridCol w:w="800"/>
      </w:tblGrid>
      <w:tr w:rsidR="0024586E" w:rsidRPr="00914B98" w14:paraId="77904CC6" w14:textId="77777777" w:rsidTr="009A58B0">
        <w:trPr>
          <w:trHeight w:val="290"/>
          <w:tblHeader/>
        </w:trPr>
        <w:tc>
          <w:tcPr>
            <w:tcW w:w="2381" w:type="pct"/>
            <w:tcBorders>
              <w:top w:val="single" w:sz="4" w:space="0" w:color="8ED973"/>
              <w:left w:val="single" w:sz="4" w:space="0" w:color="4EA72E"/>
              <w:bottom w:val="nil"/>
              <w:right w:val="nil"/>
            </w:tcBorders>
            <w:shd w:val="clear" w:color="4EA72E" w:fill="4EA72E"/>
            <w:vAlign w:val="bottom"/>
            <w:hideMark/>
          </w:tcPr>
          <w:p w14:paraId="3D470B8A" w14:textId="77777777" w:rsidR="0024586E" w:rsidRPr="00914B98" w:rsidRDefault="0024586E" w:rsidP="009574F4">
            <w:pPr>
              <w:spacing w:after="0"/>
              <w:rPr>
                <w:rFonts w:eastAsia="Times New Roman" w:cs="Calibri"/>
                <w:b/>
                <w:bCs/>
                <w:color w:val="FFFFFF"/>
                <w:sz w:val="20"/>
                <w:szCs w:val="20"/>
                <w:lang w:eastAsia="cs-CZ"/>
              </w:rPr>
            </w:pPr>
            <w:r w:rsidRPr="00914B98">
              <w:rPr>
                <w:rFonts w:eastAsia="Times New Roman" w:cs="Calibri"/>
                <w:b/>
                <w:bCs/>
                <w:color w:val="FFFFFF"/>
                <w:sz w:val="20"/>
                <w:szCs w:val="20"/>
                <w:lang w:eastAsia="cs-CZ"/>
              </w:rPr>
              <w:t>Název údaje</w:t>
            </w:r>
          </w:p>
        </w:tc>
        <w:tc>
          <w:tcPr>
            <w:tcW w:w="634" w:type="pct"/>
            <w:tcBorders>
              <w:top w:val="single" w:sz="4" w:space="0" w:color="8ED973"/>
              <w:left w:val="nil"/>
              <w:bottom w:val="nil"/>
              <w:right w:val="nil"/>
            </w:tcBorders>
            <w:shd w:val="clear" w:color="4EA72E" w:fill="4EA72E"/>
            <w:noWrap/>
            <w:vAlign w:val="bottom"/>
            <w:hideMark/>
          </w:tcPr>
          <w:p w14:paraId="699279EF" w14:textId="77777777" w:rsidR="0024586E" w:rsidRPr="00914B98" w:rsidRDefault="0024586E" w:rsidP="009574F4">
            <w:pPr>
              <w:spacing w:after="0"/>
              <w:rPr>
                <w:rFonts w:eastAsia="Times New Roman" w:cs="Calibri"/>
                <w:b/>
                <w:bCs/>
                <w:color w:val="FFFFFF"/>
                <w:sz w:val="20"/>
                <w:szCs w:val="20"/>
                <w:lang w:eastAsia="cs-CZ"/>
              </w:rPr>
            </w:pPr>
            <w:r w:rsidRPr="00914B98">
              <w:rPr>
                <w:rFonts w:eastAsia="Times New Roman" w:cs="Calibri"/>
                <w:b/>
                <w:bCs/>
                <w:color w:val="FFFFFF"/>
                <w:sz w:val="20"/>
                <w:szCs w:val="20"/>
                <w:lang w:eastAsia="cs-CZ"/>
              </w:rPr>
              <w:t>Oblast</w:t>
            </w:r>
          </w:p>
        </w:tc>
        <w:tc>
          <w:tcPr>
            <w:tcW w:w="1154" w:type="pct"/>
            <w:tcBorders>
              <w:top w:val="single" w:sz="4" w:space="0" w:color="8ED973"/>
              <w:left w:val="nil"/>
              <w:bottom w:val="nil"/>
              <w:right w:val="nil"/>
            </w:tcBorders>
            <w:shd w:val="clear" w:color="4EA72E" w:fill="4EA72E"/>
            <w:noWrap/>
            <w:vAlign w:val="bottom"/>
            <w:hideMark/>
          </w:tcPr>
          <w:p w14:paraId="335CA6A2" w14:textId="77777777" w:rsidR="0024586E" w:rsidRPr="00914B98" w:rsidRDefault="0024586E" w:rsidP="009574F4">
            <w:pPr>
              <w:spacing w:after="0"/>
              <w:rPr>
                <w:rFonts w:eastAsia="Times New Roman" w:cs="Calibri"/>
                <w:b/>
                <w:bCs/>
                <w:color w:val="FFFFFF"/>
                <w:sz w:val="20"/>
                <w:szCs w:val="20"/>
                <w:lang w:eastAsia="cs-CZ"/>
              </w:rPr>
            </w:pPr>
            <w:r w:rsidRPr="00914B98">
              <w:rPr>
                <w:rFonts w:eastAsia="Times New Roman" w:cs="Calibri"/>
                <w:b/>
                <w:bCs/>
                <w:color w:val="FFFFFF"/>
                <w:sz w:val="20"/>
                <w:szCs w:val="20"/>
                <w:lang w:eastAsia="cs-CZ"/>
              </w:rPr>
              <w:t>Podoblast</w:t>
            </w:r>
          </w:p>
        </w:tc>
        <w:tc>
          <w:tcPr>
            <w:tcW w:w="546" w:type="pct"/>
            <w:tcBorders>
              <w:top w:val="single" w:sz="4" w:space="0" w:color="8ED973"/>
              <w:left w:val="nil"/>
              <w:bottom w:val="nil"/>
              <w:right w:val="nil"/>
            </w:tcBorders>
            <w:shd w:val="clear" w:color="4EA72E" w:fill="4EA72E"/>
            <w:noWrap/>
            <w:vAlign w:val="bottom"/>
            <w:hideMark/>
          </w:tcPr>
          <w:p w14:paraId="04716268" w14:textId="77777777" w:rsidR="0024586E" w:rsidRPr="00914B98" w:rsidRDefault="0024586E" w:rsidP="009574F4">
            <w:pPr>
              <w:spacing w:after="0"/>
              <w:rPr>
                <w:rFonts w:eastAsia="Times New Roman" w:cs="Calibri"/>
                <w:b/>
                <w:bCs/>
                <w:color w:val="FFFFFF"/>
                <w:sz w:val="20"/>
                <w:szCs w:val="20"/>
                <w:lang w:eastAsia="cs-CZ"/>
              </w:rPr>
            </w:pPr>
            <w:r w:rsidRPr="00914B98">
              <w:rPr>
                <w:rFonts w:eastAsia="Times New Roman" w:cs="Calibri"/>
                <w:b/>
                <w:bCs/>
                <w:color w:val="FFFFFF"/>
                <w:sz w:val="20"/>
                <w:szCs w:val="20"/>
                <w:lang w:eastAsia="cs-CZ"/>
              </w:rPr>
              <w:t>Stupeň vzdělání</w:t>
            </w:r>
          </w:p>
        </w:tc>
        <w:tc>
          <w:tcPr>
            <w:tcW w:w="285" w:type="pct"/>
            <w:tcBorders>
              <w:top w:val="single" w:sz="4" w:space="0" w:color="8ED973"/>
              <w:left w:val="nil"/>
              <w:bottom w:val="nil"/>
              <w:right w:val="single" w:sz="4" w:space="0" w:color="4EA72E"/>
            </w:tcBorders>
            <w:shd w:val="clear" w:color="4EA72E" w:fill="4EA72E"/>
            <w:noWrap/>
            <w:vAlign w:val="bottom"/>
            <w:hideMark/>
          </w:tcPr>
          <w:p w14:paraId="0CD8E32F" w14:textId="77777777" w:rsidR="0024586E" w:rsidRPr="00914B98" w:rsidRDefault="0024586E" w:rsidP="009574F4">
            <w:pPr>
              <w:spacing w:after="0"/>
              <w:rPr>
                <w:rFonts w:eastAsia="Times New Roman" w:cs="Calibri"/>
                <w:b/>
                <w:bCs/>
                <w:color w:val="FFFFFF"/>
                <w:sz w:val="20"/>
                <w:szCs w:val="20"/>
                <w:lang w:eastAsia="cs-CZ"/>
              </w:rPr>
            </w:pPr>
            <w:r w:rsidRPr="00914B98">
              <w:rPr>
                <w:rFonts w:eastAsia="Times New Roman" w:cs="Calibri"/>
                <w:b/>
                <w:bCs/>
                <w:color w:val="FFFFFF"/>
                <w:sz w:val="20"/>
                <w:szCs w:val="20"/>
                <w:lang w:eastAsia="cs-CZ"/>
              </w:rPr>
              <w:t>Pořadí</w:t>
            </w:r>
          </w:p>
        </w:tc>
      </w:tr>
      <w:tr w:rsidR="0024586E" w:rsidRPr="00914B98" w14:paraId="2F5F3D24" w14:textId="77777777" w:rsidTr="009A58B0">
        <w:trPr>
          <w:trHeight w:val="290"/>
        </w:trPr>
        <w:tc>
          <w:tcPr>
            <w:tcW w:w="2381" w:type="pct"/>
            <w:tcBorders>
              <w:top w:val="single" w:sz="4" w:space="0" w:color="8ED973"/>
              <w:left w:val="single" w:sz="4" w:space="0" w:color="4EA72E"/>
              <w:bottom w:val="nil"/>
              <w:right w:val="nil"/>
            </w:tcBorders>
            <w:hideMark/>
          </w:tcPr>
          <w:p w14:paraId="75DE4BC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asistenta pedagoga k průměrné mzdě</w:t>
            </w:r>
          </w:p>
        </w:tc>
        <w:tc>
          <w:tcPr>
            <w:tcW w:w="634" w:type="pct"/>
            <w:tcBorders>
              <w:top w:val="single" w:sz="4" w:space="0" w:color="8ED973"/>
              <w:left w:val="nil"/>
              <w:bottom w:val="nil"/>
              <w:right w:val="nil"/>
            </w:tcBorders>
            <w:noWrap/>
            <w:hideMark/>
          </w:tcPr>
          <w:p w14:paraId="6C0EEBA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13748E4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Další pedagogické profese/specializace</w:t>
            </w:r>
          </w:p>
        </w:tc>
        <w:tc>
          <w:tcPr>
            <w:tcW w:w="546" w:type="pct"/>
            <w:tcBorders>
              <w:top w:val="single" w:sz="4" w:space="0" w:color="8ED973"/>
              <w:left w:val="nil"/>
              <w:bottom w:val="nil"/>
              <w:right w:val="nil"/>
            </w:tcBorders>
            <w:noWrap/>
            <w:hideMark/>
          </w:tcPr>
          <w:p w14:paraId="79836E2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 ZŠ, SŠ</w:t>
            </w:r>
          </w:p>
        </w:tc>
        <w:tc>
          <w:tcPr>
            <w:tcW w:w="285" w:type="pct"/>
            <w:tcBorders>
              <w:top w:val="single" w:sz="4" w:space="0" w:color="8ED973"/>
              <w:left w:val="nil"/>
              <w:bottom w:val="nil"/>
              <w:right w:val="single" w:sz="4" w:space="0" w:color="4EA72E"/>
            </w:tcBorders>
            <w:noWrap/>
            <w:hideMark/>
          </w:tcPr>
          <w:p w14:paraId="4225634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532EF998" w14:textId="77777777" w:rsidTr="009A58B0">
        <w:trPr>
          <w:trHeight w:val="520"/>
        </w:trPr>
        <w:tc>
          <w:tcPr>
            <w:tcW w:w="2381" w:type="pct"/>
            <w:tcBorders>
              <w:top w:val="single" w:sz="4" w:space="0" w:color="8ED973"/>
              <w:left w:val="single" w:sz="4" w:space="0" w:color="4EA72E"/>
              <w:bottom w:val="nil"/>
              <w:right w:val="nil"/>
            </w:tcBorders>
            <w:hideMark/>
          </w:tcPr>
          <w:p w14:paraId="73B9627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skupiny nepedagogických pracovníků MŠ k průměrné mzdě</w:t>
            </w:r>
          </w:p>
        </w:tc>
        <w:tc>
          <w:tcPr>
            <w:tcW w:w="634" w:type="pct"/>
            <w:tcBorders>
              <w:top w:val="single" w:sz="4" w:space="0" w:color="8ED973"/>
              <w:left w:val="nil"/>
              <w:bottom w:val="nil"/>
              <w:right w:val="nil"/>
            </w:tcBorders>
            <w:noWrap/>
            <w:hideMark/>
          </w:tcPr>
          <w:p w14:paraId="2A029D7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4160717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Nepedagogické profese</w:t>
            </w:r>
          </w:p>
        </w:tc>
        <w:tc>
          <w:tcPr>
            <w:tcW w:w="546" w:type="pct"/>
            <w:tcBorders>
              <w:top w:val="single" w:sz="4" w:space="0" w:color="8ED973"/>
              <w:left w:val="nil"/>
              <w:bottom w:val="nil"/>
              <w:right w:val="nil"/>
            </w:tcBorders>
            <w:noWrap/>
            <w:hideMark/>
          </w:tcPr>
          <w:p w14:paraId="2BECDC4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38CAB28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7191F5A1" w14:textId="77777777" w:rsidTr="009A58B0">
        <w:trPr>
          <w:trHeight w:val="520"/>
        </w:trPr>
        <w:tc>
          <w:tcPr>
            <w:tcW w:w="2381" w:type="pct"/>
            <w:tcBorders>
              <w:top w:val="single" w:sz="4" w:space="0" w:color="8ED973"/>
              <w:left w:val="single" w:sz="4" w:space="0" w:color="4EA72E"/>
              <w:bottom w:val="nil"/>
              <w:right w:val="nil"/>
            </w:tcBorders>
            <w:hideMark/>
          </w:tcPr>
          <w:p w14:paraId="4C2A2A4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skupiny nepedagogických pracovníků v ZŠ k průměrné mzdě</w:t>
            </w:r>
          </w:p>
        </w:tc>
        <w:tc>
          <w:tcPr>
            <w:tcW w:w="634" w:type="pct"/>
            <w:tcBorders>
              <w:top w:val="single" w:sz="4" w:space="0" w:color="8ED973"/>
              <w:left w:val="nil"/>
              <w:bottom w:val="nil"/>
              <w:right w:val="nil"/>
            </w:tcBorders>
            <w:noWrap/>
            <w:hideMark/>
          </w:tcPr>
          <w:p w14:paraId="08A52C3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439DA02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Nepedagogické profese</w:t>
            </w:r>
          </w:p>
        </w:tc>
        <w:tc>
          <w:tcPr>
            <w:tcW w:w="546" w:type="pct"/>
            <w:tcBorders>
              <w:top w:val="single" w:sz="4" w:space="0" w:color="8ED973"/>
              <w:left w:val="nil"/>
              <w:bottom w:val="nil"/>
              <w:right w:val="nil"/>
            </w:tcBorders>
            <w:noWrap/>
            <w:hideMark/>
          </w:tcPr>
          <w:p w14:paraId="1114F8A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6C937F9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48904B8D" w14:textId="77777777" w:rsidTr="009A58B0">
        <w:trPr>
          <w:trHeight w:val="290"/>
        </w:trPr>
        <w:tc>
          <w:tcPr>
            <w:tcW w:w="2381" w:type="pct"/>
            <w:tcBorders>
              <w:top w:val="single" w:sz="4" w:space="0" w:color="8ED973"/>
              <w:left w:val="single" w:sz="4" w:space="0" w:color="4EA72E"/>
              <w:bottom w:val="nil"/>
              <w:right w:val="nil"/>
            </w:tcBorders>
            <w:hideMark/>
          </w:tcPr>
          <w:p w14:paraId="0789096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úvazků skupiny nepedagogických zaměstnanců v MŠ na 10 tis. dětí</w:t>
            </w:r>
          </w:p>
        </w:tc>
        <w:tc>
          <w:tcPr>
            <w:tcW w:w="634" w:type="pct"/>
            <w:tcBorders>
              <w:top w:val="single" w:sz="4" w:space="0" w:color="8ED973"/>
              <w:left w:val="nil"/>
              <w:bottom w:val="nil"/>
              <w:right w:val="nil"/>
            </w:tcBorders>
            <w:noWrap/>
            <w:hideMark/>
          </w:tcPr>
          <w:p w14:paraId="2F3AFEF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0553892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Nepedagogické profese</w:t>
            </w:r>
          </w:p>
        </w:tc>
        <w:tc>
          <w:tcPr>
            <w:tcW w:w="546" w:type="pct"/>
            <w:tcBorders>
              <w:top w:val="single" w:sz="4" w:space="0" w:color="8ED973"/>
              <w:left w:val="nil"/>
              <w:bottom w:val="nil"/>
              <w:right w:val="nil"/>
            </w:tcBorders>
            <w:noWrap/>
            <w:hideMark/>
          </w:tcPr>
          <w:p w14:paraId="70C1144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3A32C3D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438E1304" w14:textId="77777777" w:rsidTr="009A58B0">
        <w:trPr>
          <w:trHeight w:val="290"/>
        </w:trPr>
        <w:tc>
          <w:tcPr>
            <w:tcW w:w="2381" w:type="pct"/>
            <w:tcBorders>
              <w:top w:val="single" w:sz="4" w:space="0" w:color="8ED973"/>
              <w:left w:val="single" w:sz="4" w:space="0" w:color="4EA72E"/>
              <w:bottom w:val="nil"/>
              <w:right w:val="nil"/>
            </w:tcBorders>
            <w:hideMark/>
          </w:tcPr>
          <w:p w14:paraId="62AF336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skupiny nepedagogických pracovníků SŠ k průměrné mzdě</w:t>
            </w:r>
          </w:p>
        </w:tc>
        <w:tc>
          <w:tcPr>
            <w:tcW w:w="634" w:type="pct"/>
            <w:tcBorders>
              <w:top w:val="single" w:sz="4" w:space="0" w:color="8ED973"/>
              <w:left w:val="nil"/>
              <w:bottom w:val="nil"/>
              <w:right w:val="nil"/>
            </w:tcBorders>
            <w:noWrap/>
            <w:hideMark/>
          </w:tcPr>
          <w:p w14:paraId="765374F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7ABC232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Nepedagogické profese</w:t>
            </w:r>
          </w:p>
        </w:tc>
        <w:tc>
          <w:tcPr>
            <w:tcW w:w="546" w:type="pct"/>
            <w:tcBorders>
              <w:top w:val="single" w:sz="4" w:space="0" w:color="8ED973"/>
              <w:left w:val="nil"/>
              <w:bottom w:val="nil"/>
              <w:right w:val="nil"/>
            </w:tcBorders>
            <w:noWrap/>
            <w:hideMark/>
          </w:tcPr>
          <w:p w14:paraId="1E9DFBD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2DD445F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11A48F5A" w14:textId="77777777" w:rsidTr="009A58B0">
        <w:trPr>
          <w:trHeight w:val="290"/>
        </w:trPr>
        <w:tc>
          <w:tcPr>
            <w:tcW w:w="2381" w:type="pct"/>
            <w:tcBorders>
              <w:top w:val="single" w:sz="4" w:space="0" w:color="8ED973"/>
              <w:left w:val="single" w:sz="4" w:space="0" w:color="4EA72E"/>
              <w:bottom w:val="nil"/>
              <w:right w:val="nil"/>
            </w:tcBorders>
            <w:hideMark/>
          </w:tcPr>
          <w:p w14:paraId="3C7C4FF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úvazků skupiny nepedagogických zaměstnanců v ZŠ na 10 tis. žáků</w:t>
            </w:r>
          </w:p>
        </w:tc>
        <w:tc>
          <w:tcPr>
            <w:tcW w:w="634" w:type="pct"/>
            <w:tcBorders>
              <w:top w:val="single" w:sz="4" w:space="0" w:color="8ED973"/>
              <w:left w:val="nil"/>
              <w:bottom w:val="nil"/>
              <w:right w:val="nil"/>
            </w:tcBorders>
            <w:noWrap/>
            <w:hideMark/>
          </w:tcPr>
          <w:p w14:paraId="081412C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0520BBD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Nepedagogické profese</w:t>
            </w:r>
          </w:p>
        </w:tc>
        <w:tc>
          <w:tcPr>
            <w:tcW w:w="546" w:type="pct"/>
            <w:tcBorders>
              <w:top w:val="single" w:sz="4" w:space="0" w:color="8ED973"/>
              <w:left w:val="nil"/>
              <w:bottom w:val="nil"/>
              <w:right w:val="nil"/>
            </w:tcBorders>
            <w:noWrap/>
            <w:hideMark/>
          </w:tcPr>
          <w:p w14:paraId="53D35B1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6E5A1A0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14</w:t>
            </w:r>
          </w:p>
        </w:tc>
      </w:tr>
      <w:tr w:rsidR="0024586E" w:rsidRPr="00914B98" w14:paraId="53D10BD0" w14:textId="77777777" w:rsidTr="009A58B0">
        <w:trPr>
          <w:trHeight w:val="290"/>
        </w:trPr>
        <w:tc>
          <w:tcPr>
            <w:tcW w:w="2381" w:type="pct"/>
            <w:tcBorders>
              <w:top w:val="single" w:sz="4" w:space="0" w:color="8ED973"/>
              <w:left w:val="single" w:sz="4" w:space="0" w:color="4EA72E"/>
              <w:bottom w:val="nil"/>
              <w:right w:val="nil"/>
            </w:tcBorders>
            <w:hideMark/>
          </w:tcPr>
          <w:p w14:paraId="711C344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žáků na učitele v SŠ běžných zřizovaných krajem</w:t>
            </w:r>
          </w:p>
        </w:tc>
        <w:tc>
          <w:tcPr>
            <w:tcW w:w="634" w:type="pct"/>
            <w:tcBorders>
              <w:top w:val="single" w:sz="4" w:space="0" w:color="8ED973"/>
              <w:left w:val="nil"/>
              <w:bottom w:val="nil"/>
              <w:right w:val="nil"/>
            </w:tcBorders>
            <w:noWrap/>
            <w:hideMark/>
          </w:tcPr>
          <w:p w14:paraId="620D832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3B6DF5A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0475797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SŠ</w:t>
            </w:r>
          </w:p>
        </w:tc>
        <w:tc>
          <w:tcPr>
            <w:tcW w:w="285" w:type="pct"/>
            <w:tcBorders>
              <w:top w:val="single" w:sz="4" w:space="0" w:color="8ED973"/>
              <w:left w:val="nil"/>
              <w:bottom w:val="nil"/>
              <w:right w:val="single" w:sz="4" w:space="0" w:color="4EA72E"/>
            </w:tcBorders>
            <w:noWrap/>
            <w:hideMark/>
          </w:tcPr>
          <w:p w14:paraId="29C05D8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w:t>
            </w:r>
          </w:p>
        </w:tc>
      </w:tr>
      <w:tr w:rsidR="0024586E" w:rsidRPr="00914B98" w14:paraId="269A7200" w14:textId="77777777" w:rsidTr="009A58B0">
        <w:trPr>
          <w:trHeight w:val="290"/>
        </w:trPr>
        <w:tc>
          <w:tcPr>
            <w:tcW w:w="2381" w:type="pct"/>
            <w:tcBorders>
              <w:top w:val="single" w:sz="4" w:space="0" w:color="8ED973"/>
              <w:left w:val="single" w:sz="4" w:space="0" w:color="4EA72E"/>
              <w:bottom w:val="nil"/>
              <w:right w:val="nil"/>
            </w:tcBorders>
            <w:hideMark/>
          </w:tcPr>
          <w:p w14:paraId="15BF098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nekvalifikovaných učitelů 1. st. ZŠ</w:t>
            </w:r>
          </w:p>
        </w:tc>
        <w:tc>
          <w:tcPr>
            <w:tcW w:w="634" w:type="pct"/>
            <w:tcBorders>
              <w:top w:val="single" w:sz="4" w:space="0" w:color="8ED973"/>
              <w:left w:val="nil"/>
              <w:bottom w:val="nil"/>
              <w:right w:val="nil"/>
            </w:tcBorders>
            <w:noWrap/>
            <w:hideMark/>
          </w:tcPr>
          <w:p w14:paraId="5CDC2C4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059C2D5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5383176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67258CE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w:t>
            </w:r>
          </w:p>
        </w:tc>
      </w:tr>
      <w:tr w:rsidR="0024586E" w:rsidRPr="00914B98" w14:paraId="259C44D0" w14:textId="77777777" w:rsidTr="009A58B0">
        <w:trPr>
          <w:trHeight w:val="290"/>
        </w:trPr>
        <w:tc>
          <w:tcPr>
            <w:tcW w:w="2381" w:type="pct"/>
            <w:tcBorders>
              <w:top w:val="single" w:sz="4" w:space="0" w:color="8ED973"/>
              <w:left w:val="single" w:sz="4" w:space="0" w:color="4EA72E"/>
              <w:bottom w:val="nil"/>
              <w:right w:val="nil"/>
            </w:tcBorders>
            <w:hideMark/>
          </w:tcPr>
          <w:p w14:paraId="0E1430D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žáků na učitele v ZŠ běžných zřizovaných obcí</w:t>
            </w:r>
          </w:p>
        </w:tc>
        <w:tc>
          <w:tcPr>
            <w:tcW w:w="634" w:type="pct"/>
            <w:tcBorders>
              <w:top w:val="single" w:sz="4" w:space="0" w:color="8ED973"/>
              <w:left w:val="nil"/>
              <w:bottom w:val="nil"/>
              <w:right w:val="nil"/>
            </w:tcBorders>
            <w:noWrap/>
            <w:hideMark/>
          </w:tcPr>
          <w:p w14:paraId="37A141A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405F7B7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2A0FF34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40F5828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7D74983E" w14:textId="77777777" w:rsidTr="009A58B0">
        <w:trPr>
          <w:trHeight w:val="290"/>
        </w:trPr>
        <w:tc>
          <w:tcPr>
            <w:tcW w:w="2381" w:type="pct"/>
            <w:tcBorders>
              <w:top w:val="single" w:sz="4" w:space="0" w:color="8ED973"/>
              <w:left w:val="single" w:sz="4" w:space="0" w:color="4EA72E"/>
              <w:bottom w:val="nil"/>
              <w:right w:val="nil"/>
            </w:tcBorders>
            <w:hideMark/>
          </w:tcPr>
          <w:p w14:paraId="7708B10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dětí na učitele v MŠ běžných zřizovaných obcí</w:t>
            </w:r>
          </w:p>
        </w:tc>
        <w:tc>
          <w:tcPr>
            <w:tcW w:w="634" w:type="pct"/>
            <w:tcBorders>
              <w:top w:val="single" w:sz="4" w:space="0" w:color="8ED973"/>
              <w:left w:val="nil"/>
              <w:bottom w:val="nil"/>
              <w:right w:val="nil"/>
            </w:tcBorders>
            <w:noWrap/>
            <w:hideMark/>
          </w:tcPr>
          <w:p w14:paraId="237B849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5499D62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2CB8FBA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4F9AB73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723D0139" w14:textId="77777777" w:rsidTr="009A58B0">
        <w:trPr>
          <w:trHeight w:val="290"/>
        </w:trPr>
        <w:tc>
          <w:tcPr>
            <w:tcW w:w="2381" w:type="pct"/>
            <w:tcBorders>
              <w:top w:val="single" w:sz="4" w:space="0" w:color="8ED973"/>
              <w:left w:val="single" w:sz="4" w:space="0" w:color="4EA72E"/>
              <w:bottom w:val="nil"/>
              <w:right w:val="nil"/>
            </w:tcBorders>
            <w:hideMark/>
          </w:tcPr>
          <w:p w14:paraId="7D0170B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 xml:space="preserve">Podíl nekvalifikovaných učitelů </w:t>
            </w:r>
          </w:p>
        </w:tc>
        <w:tc>
          <w:tcPr>
            <w:tcW w:w="634" w:type="pct"/>
            <w:tcBorders>
              <w:top w:val="single" w:sz="4" w:space="0" w:color="8ED973"/>
              <w:left w:val="nil"/>
              <w:bottom w:val="nil"/>
              <w:right w:val="nil"/>
            </w:tcBorders>
            <w:noWrap/>
            <w:hideMark/>
          </w:tcPr>
          <w:p w14:paraId="3B4F0A5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624D1D1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4362325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 ZŠ, SŠ</w:t>
            </w:r>
          </w:p>
        </w:tc>
        <w:tc>
          <w:tcPr>
            <w:tcW w:w="285" w:type="pct"/>
            <w:tcBorders>
              <w:top w:val="single" w:sz="4" w:space="0" w:color="8ED973"/>
              <w:left w:val="nil"/>
              <w:bottom w:val="nil"/>
              <w:right w:val="single" w:sz="4" w:space="0" w:color="4EA72E"/>
            </w:tcBorders>
            <w:noWrap/>
            <w:hideMark/>
          </w:tcPr>
          <w:p w14:paraId="2931B01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5886A6F0" w14:textId="77777777" w:rsidTr="009A58B0">
        <w:trPr>
          <w:trHeight w:val="290"/>
        </w:trPr>
        <w:tc>
          <w:tcPr>
            <w:tcW w:w="2381" w:type="pct"/>
            <w:tcBorders>
              <w:top w:val="single" w:sz="4" w:space="0" w:color="8ED973"/>
              <w:left w:val="single" w:sz="4" w:space="0" w:color="4EA72E"/>
              <w:bottom w:val="nil"/>
              <w:right w:val="nil"/>
            </w:tcBorders>
            <w:hideMark/>
          </w:tcPr>
          <w:p w14:paraId="2964E19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nekvalifikovaných učitelů MŠ</w:t>
            </w:r>
          </w:p>
        </w:tc>
        <w:tc>
          <w:tcPr>
            <w:tcW w:w="634" w:type="pct"/>
            <w:tcBorders>
              <w:top w:val="single" w:sz="4" w:space="0" w:color="8ED973"/>
              <w:left w:val="nil"/>
              <w:bottom w:val="nil"/>
              <w:right w:val="nil"/>
            </w:tcBorders>
            <w:noWrap/>
            <w:hideMark/>
          </w:tcPr>
          <w:p w14:paraId="1E30324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3A04C8D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649AE40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252A082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71BC35AD" w14:textId="77777777" w:rsidTr="009A58B0">
        <w:trPr>
          <w:trHeight w:val="290"/>
        </w:trPr>
        <w:tc>
          <w:tcPr>
            <w:tcW w:w="2381" w:type="pct"/>
            <w:tcBorders>
              <w:top w:val="single" w:sz="4" w:space="0" w:color="8ED973"/>
              <w:left w:val="single" w:sz="4" w:space="0" w:color="4EA72E"/>
              <w:bottom w:val="nil"/>
              <w:right w:val="nil"/>
            </w:tcBorders>
            <w:hideMark/>
          </w:tcPr>
          <w:p w14:paraId="40BF33E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nekvalifikovaných učitelů 2. st. ZŠ</w:t>
            </w:r>
          </w:p>
        </w:tc>
        <w:tc>
          <w:tcPr>
            <w:tcW w:w="634" w:type="pct"/>
            <w:tcBorders>
              <w:top w:val="single" w:sz="4" w:space="0" w:color="8ED973"/>
              <w:left w:val="nil"/>
              <w:bottom w:val="nil"/>
              <w:right w:val="nil"/>
            </w:tcBorders>
            <w:noWrap/>
            <w:hideMark/>
          </w:tcPr>
          <w:p w14:paraId="02381D2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3DC27BD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6916B74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2783435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353BFAA5" w14:textId="77777777" w:rsidTr="009A58B0">
        <w:trPr>
          <w:trHeight w:val="290"/>
        </w:trPr>
        <w:tc>
          <w:tcPr>
            <w:tcW w:w="2381" w:type="pct"/>
            <w:tcBorders>
              <w:top w:val="single" w:sz="4" w:space="0" w:color="8ED973"/>
              <w:left w:val="single" w:sz="4" w:space="0" w:color="4EA72E"/>
              <w:bottom w:val="nil"/>
              <w:right w:val="nil"/>
            </w:tcBorders>
            <w:hideMark/>
          </w:tcPr>
          <w:p w14:paraId="5C64277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nekvalifikovaných učitelů SŠ</w:t>
            </w:r>
          </w:p>
        </w:tc>
        <w:tc>
          <w:tcPr>
            <w:tcW w:w="634" w:type="pct"/>
            <w:tcBorders>
              <w:top w:val="single" w:sz="4" w:space="0" w:color="8ED973"/>
              <w:left w:val="nil"/>
              <w:bottom w:val="nil"/>
              <w:right w:val="nil"/>
            </w:tcBorders>
            <w:noWrap/>
            <w:hideMark/>
          </w:tcPr>
          <w:p w14:paraId="094A85D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0AFDC79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44DE21E7"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SŠ</w:t>
            </w:r>
          </w:p>
        </w:tc>
        <w:tc>
          <w:tcPr>
            <w:tcW w:w="285" w:type="pct"/>
            <w:tcBorders>
              <w:top w:val="single" w:sz="4" w:space="0" w:color="8ED973"/>
              <w:left w:val="nil"/>
              <w:bottom w:val="nil"/>
              <w:right w:val="single" w:sz="4" w:space="0" w:color="4EA72E"/>
            </w:tcBorders>
            <w:noWrap/>
            <w:hideMark/>
          </w:tcPr>
          <w:p w14:paraId="18C76A0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74930777" w14:textId="77777777" w:rsidTr="009A58B0">
        <w:trPr>
          <w:trHeight w:val="290"/>
        </w:trPr>
        <w:tc>
          <w:tcPr>
            <w:tcW w:w="2381" w:type="pct"/>
            <w:tcBorders>
              <w:top w:val="single" w:sz="4" w:space="0" w:color="8ED973"/>
              <w:left w:val="single" w:sz="4" w:space="0" w:color="4EA72E"/>
              <w:bottom w:val="nil"/>
              <w:right w:val="nil"/>
            </w:tcBorders>
            <w:hideMark/>
          </w:tcPr>
          <w:p w14:paraId="590B4CD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učitele ve veřejné MŠ k průměrné mzdě</w:t>
            </w:r>
          </w:p>
        </w:tc>
        <w:tc>
          <w:tcPr>
            <w:tcW w:w="634" w:type="pct"/>
            <w:tcBorders>
              <w:top w:val="single" w:sz="4" w:space="0" w:color="8ED973"/>
              <w:left w:val="nil"/>
              <w:bottom w:val="nil"/>
              <w:right w:val="nil"/>
            </w:tcBorders>
            <w:noWrap/>
            <w:hideMark/>
          </w:tcPr>
          <w:p w14:paraId="218F466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108C615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747E24F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265DB91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2C99E99A" w14:textId="77777777" w:rsidTr="009A58B0">
        <w:trPr>
          <w:trHeight w:val="290"/>
        </w:trPr>
        <w:tc>
          <w:tcPr>
            <w:tcW w:w="2381" w:type="pct"/>
            <w:tcBorders>
              <w:top w:val="single" w:sz="4" w:space="0" w:color="8ED973"/>
              <w:left w:val="single" w:sz="4" w:space="0" w:color="4EA72E"/>
              <w:bottom w:val="nil"/>
              <w:right w:val="nil"/>
            </w:tcBorders>
            <w:hideMark/>
          </w:tcPr>
          <w:p w14:paraId="4792451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učitele ve veřejné ZŠ k průměrné mzdě</w:t>
            </w:r>
          </w:p>
        </w:tc>
        <w:tc>
          <w:tcPr>
            <w:tcW w:w="634" w:type="pct"/>
            <w:tcBorders>
              <w:top w:val="single" w:sz="4" w:space="0" w:color="8ED973"/>
              <w:left w:val="nil"/>
              <w:bottom w:val="nil"/>
              <w:right w:val="nil"/>
            </w:tcBorders>
            <w:noWrap/>
            <w:hideMark/>
          </w:tcPr>
          <w:p w14:paraId="5171235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7C65FCA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6F9B4F8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3447411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0294FEAF" w14:textId="77777777" w:rsidTr="009A58B0">
        <w:trPr>
          <w:trHeight w:val="290"/>
        </w:trPr>
        <w:tc>
          <w:tcPr>
            <w:tcW w:w="2381" w:type="pct"/>
            <w:tcBorders>
              <w:top w:val="single" w:sz="4" w:space="0" w:color="8ED973"/>
              <w:left w:val="single" w:sz="4" w:space="0" w:color="4EA72E"/>
              <w:bottom w:val="nil"/>
              <w:right w:val="nil"/>
            </w:tcBorders>
            <w:hideMark/>
          </w:tcPr>
          <w:p w14:paraId="27A37A4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Průměrný plat učitele ve veřejné SŠ k průměrné mzdě</w:t>
            </w:r>
          </w:p>
        </w:tc>
        <w:tc>
          <w:tcPr>
            <w:tcW w:w="634" w:type="pct"/>
            <w:tcBorders>
              <w:top w:val="single" w:sz="4" w:space="0" w:color="8ED973"/>
              <w:left w:val="nil"/>
              <w:bottom w:val="nil"/>
              <w:right w:val="nil"/>
            </w:tcBorders>
            <w:noWrap/>
            <w:hideMark/>
          </w:tcPr>
          <w:p w14:paraId="459704F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Pracovníci ve školství</w:t>
            </w:r>
          </w:p>
        </w:tc>
        <w:tc>
          <w:tcPr>
            <w:tcW w:w="1154" w:type="pct"/>
            <w:tcBorders>
              <w:top w:val="single" w:sz="4" w:space="0" w:color="8ED973"/>
              <w:left w:val="nil"/>
              <w:bottom w:val="nil"/>
              <w:right w:val="nil"/>
            </w:tcBorders>
            <w:noWrap/>
            <w:hideMark/>
          </w:tcPr>
          <w:p w14:paraId="4DA6EF7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Učitelé</w:t>
            </w:r>
          </w:p>
        </w:tc>
        <w:tc>
          <w:tcPr>
            <w:tcW w:w="546" w:type="pct"/>
            <w:tcBorders>
              <w:top w:val="single" w:sz="4" w:space="0" w:color="8ED973"/>
              <w:left w:val="nil"/>
              <w:bottom w:val="nil"/>
              <w:right w:val="nil"/>
            </w:tcBorders>
            <w:noWrap/>
            <w:hideMark/>
          </w:tcPr>
          <w:p w14:paraId="183CAF3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SŠ</w:t>
            </w:r>
          </w:p>
        </w:tc>
        <w:tc>
          <w:tcPr>
            <w:tcW w:w="285" w:type="pct"/>
            <w:tcBorders>
              <w:top w:val="single" w:sz="4" w:space="0" w:color="8ED973"/>
              <w:left w:val="nil"/>
              <w:bottom w:val="nil"/>
              <w:right w:val="single" w:sz="4" w:space="0" w:color="4EA72E"/>
            </w:tcBorders>
            <w:noWrap/>
            <w:hideMark/>
          </w:tcPr>
          <w:p w14:paraId="6B1AEA2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687F37CF" w14:textId="77777777" w:rsidTr="009A58B0">
        <w:trPr>
          <w:trHeight w:val="290"/>
        </w:trPr>
        <w:tc>
          <w:tcPr>
            <w:tcW w:w="2381" w:type="pct"/>
            <w:tcBorders>
              <w:top w:val="single" w:sz="4" w:space="0" w:color="8ED973"/>
              <w:left w:val="single" w:sz="4" w:space="0" w:color="4EA72E"/>
              <w:bottom w:val="nil"/>
              <w:right w:val="nil"/>
            </w:tcBorders>
            <w:hideMark/>
          </w:tcPr>
          <w:p w14:paraId="28FB3B7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MŠ zřizovaných dobrovolným svazkem obcí</w:t>
            </w:r>
          </w:p>
        </w:tc>
        <w:tc>
          <w:tcPr>
            <w:tcW w:w="634" w:type="pct"/>
            <w:tcBorders>
              <w:top w:val="single" w:sz="4" w:space="0" w:color="8ED973"/>
              <w:left w:val="nil"/>
              <w:bottom w:val="nil"/>
              <w:right w:val="nil"/>
            </w:tcBorders>
            <w:noWrap/>
            <w:hideMark/>
          </w:tcPr>
          <w:p w14:paraId="49243CE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Školy a zřizovatelé</w:t>
            </w:r>
          </w:p>
        </w:tc>
        <w:tc>
          <w:tcPr>
            <w:tcW w:w="1154" w:type="pct"/>
            <w:tcBorders>
              <w:top w:val="single" w:sz="4" w:space="0" w:color="8ED973"/>
              <w:left w:val="nil"/>
              <w:bottom w:val="nil"/>
              <w:right w:val="nil"/>
            </w:tcBorders>
            <w:noWrap/>
            <w:hideMark/>
          </w:tcPr>
          <w:p w14:paraId="0E41A5D7"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Zřizovatelé</w:t>
            </w:r>
          </w:p>
        </w:tc>
        <w:tc>
          <w:tcPr>
            <w:tcW w:w="546" w:type="pct"/>
            <w:tcBorders>
              <w:top w:val="single" w:sz="4" w:space="0" w:color="8ED973"/>
              <w:left w:val="nil"/>
              <w:bottom w:val="nil"/>
              <w:right w:val="nil"/>
            </w:tcBorders>
            <w:noWrap/>
            <w:hideMark/>
          </w:tcPr>
          <w:p w14:paraId="0783F1D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6BE26D1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w:t>
            </w:r>
          </w:p>
        </w:tc>
      </w:tr>
      <w:tr w:rsidR="0024586E" w:rsidRPr="00914B98" w14:paraId="76804EDD" w14:textId="77777777" w:rsidTr="009A58B0">
        <w:trPr>
          <w:trHeight w:val="290"/>
        </w:trPr>
        <w:tc>
          <w:tcPr>
            <w:tcW w:w="2381" w:type="pct"/>
            <w:tcBorders>
              <w:top w:val="single" w:sz="4" w:space="0" w:color="8ED973"/>
              <w:left w:val="single" w:sz="4" w:space="0" w:color="4EA72E"/>
              <w:bottom w:val="nil"/>
              <w:right w:val="nil"/>
            </w:tcBorders>
            <w:hideMark/>
          </w:tcPr>
          <w:p w14:paraId="738CEC2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ZŠ zřizovaných dobrovolným svazkem obcí</w:t>
            </w:r>
          </w:p>
        </w:tc>
        <w:tc>
          <w:tcPr>
            <w:tcW w:w="634" w:type="pct"/>
            <w:tcBorders>
              <w:top w:val="single" w:sz="4" w:space="0" w:color="8ED973"/>
              <w:left w:val="nil"/>
              <w:bottom w:val="nil"/>
              <w:right w:val="nil"/>
            </w:tcBorders>
            <w:noWrap/>
            <w:hideMark/>
          </w:tcPr>
          <w:p w14:paraId="004D240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Školy a zřizovatelé</w:t>
            </w:r>
          </w:p>
        </w:tc>
        <w:tc>
          <w:tcPr>
            <w:tcW w:w="1154" w:type="pct"/>
            <w:tcBorders>
              <w:top w:val="single" w:sz="4" w:space="0" w:color="8ED973"/>
              <w:left w:val="nil"/>
              <w:bottom w:val="nil"/>
              <w:right w:val="nil"/>
            </w:tcBorders>
            <w:noWrap/>
            <w:hideMark/>
          </w:tcPr>
          <w:p w14:paraId="2A6B3A4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Zřizovatelé</w:t>
            </w:r>
          </w:p>
        </w:tc>
        <w:tc>
          <w:tcPr>
            <w:tcW w:w="546" w:type="pct"/>
            <w:tcBorders>
              <w:top w:val="single" w:sz="4" w:space="0" w:color="8ED973"/>
              <w:left w:val="nil"/>
              <w:bottom w:val="nil"/>
              <w:right w:val="nil"/>
            </w:tcBorders>
            <w:noWrap/>
            <w:hideMark/>
          </w:tcPr>
          <w:p w14:paraId="6EA71ED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1C57FC8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w:t>
            </w:r>
          </w:p>
        </w:tc>
      </w:tr>
      <w:tr w:rsidR="0024586E" w:rsidRPr="00914B98" w14:paraId="00A524D7" w14:textId="77777777" w:rsidTr="009A58B0">
        <w:trPr>
          <w:trHeight w:val="290"/>
        </w:trPr>
        <w:tc>
          <w:tcPr>
            <w:tcW w:w="2381" w:type="pct"/>
            <w:tcBorders>
              <w:top w:val="single" w:sz="4" w:space="0" w:color="8ED973"/>
              <w:left w:val="single" w:sz="4" w:space="0" w:color="4EA72E"/>
              <w:bottom w:val="nil"/>
              <w:right w:val="nil"/>
            </w:tcBorders>
            <w:hideMark/>
          </w:tcPr>
          <w:p w14:paraId="335E637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dětí vzdělávajících se v neveřejných MŠ</w:t>
            </w:r>
          </w:p>
        </w:tc>
        <w:tc>
          <w:tcPr>
            <w:tcW w:w="634" w:type="pct"/>
            <w:tcBorders>
              <w:top w:val="single" w:sz="4" w:space="0" w:color="8ED973"/>
              <w:left w:val="nil"/>
              <w:bottom w:val="nil"/>
              <w:right w:val="nil"/>
            </w:tcBorders>
            <w:noWrap/>
            <w:hideMark/>
          </w:tcPr>
          <w:p w14:paraId="471B2E7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Školy a zřizovatelé</w:t>
            </w:r>
          </w:p>
        </w:tc>
        <w:tc>
          <w:tcPr>
            <w:tcW w:w="1154" w:type="pct"/>
            <w:tcBorders>
              <w:top w:val="single" w:sz="4" w:space="0" w:color="8ED973"/>
              <w:left w:val="nil"/>
              <w:bottom w:val="nil"/>
              <w:right w:val="nil"/>
            </w:tcBorders>
            <w:noWrap/>
            <w:hideMark/>
          </w:tcPr>
          <w:p w14:paraId="78D166D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Zřizovatelé</w:t>
            </w:r>
          </w:p>
        </w:tc>
        <w:tc>
          <w:tcPr>
            <w:tcW w:w="546" w:type="pct"/>
            <w:tcBorders>
              <w:top w:val="single" w:sz="4" w:space="0" w:color="8ED973"/>
              <w:left w:val="nil"/>
              <w:bottom w:val="nil"/>
              <w:right w:val="nil"/>
            </w:tcBorders>
            <w:noWrap/>
            <w:hideMark/>
          </w:tcPr>
          <w:p w14:paraId="14630C0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36D0BB1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1C2C9500" w14:textId="77777777" w:rsidTr="009A58B0">
        <w:trPr>
          <w:trHeight w:val="520"/>
        </w:trPr>
        <w:tc>
          <w:tcPr>
            <w:tcW w:w="2381" w:type="pct"/>
            <w:tcBorders>
              <w:top w:val="single" w:sz="4" w:space="0" w:color="8ED973"/>
              <w:left w:val="single" w:sz="4" w:space="0" w:color="4EA72E"/>
              <w:bottom w:val="nil"/>
              <w:right w:val="nil"/>
            </w:tcBorders>
            <w:hideMark/>
          </w:tcPr>
          <w:p w14:paraId="5A82FF48"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lastRenderedPageBreak/>
              <w:t>Podíl absolventů středního vzdělávání s maturitní zkouškou v negymnaziálních oborech v denní formě vzdělávání</w:t>
            </w:r>
          </w:p>
        </w:tc>
        <w:tc>
          <w:tcPr>
            <w:tcW w:w="634" w:type="pct"/>
            <w:tcBorders>
              <w:top w:val="single" w:sz="4" w:space="0" w:color="8ED973"/>
              <w:left w:val="nil"/>
              <w:bottom w:val="nil"/>
              <w:right w:val="nil"/>
            </w:tcBorders>
            <w:noWrap/>
            <w:hideMark/>
          </w:tcPr>
          <w:p w14:paraId="6E88495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 na vzdělávání</w:t>
            </w:r>
          </w:p>
        </w:tc>
        <w:tc>
          <w:tcPr>
            <w:tcW w:w="1154" w:type="pct"/>
            <w:tcBorders>
              <w:top w:val="single" w:sz="4" w:space="0" w:color="8ED973"/>
              <w:left w:val="nil"/>
              <w:bottom w:val="nil"/>
              <w:right w:val="nil"/>
            </w:tcBorders>
            <w:noWrap/>
            <w:hideMark/>
          </w:tcPr>
          <w:p w14:paraId="7D719DC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Absolventi</w:t>
            </w:r>
          </w:p>
        </w:tc>
        <w:tc>
          <w:tcPr>
            <w:tcW w:w="546" w:type="pct"/>
            <w:tcBorders>
              <w:top w:val="single" w:sz="4" w:space="0" w:color="8ED973"/>
              <w:left w:val="nil"/>
              <w:bottom w:val="nil"/>
              <w:right w:val="nil"/>
            </w:tcBorders>
            <w:noWrap/>
            <w:hideMark/>
          </w:tcPr>
          <w:p w14:paraId="0ABE2D1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SŠ</w:t>
            </w:r>
          </w:p>
        </w:tc>
        <w:tc>
          <w:tcPr>
            <w:tcW w:w="285" w:type="pct"/>
            <w:tcBorders>
              <w:top w:val="single" w:sz="4" w:space="0" w:color="8ED973"/>
              <w:left w:val="nil"/>
              <w:bottom w:val="nil"/>
              <w:right w:val="single" w:sz="4" w:space="0" w:color="4EA72E"/>
            </w:tcBorders>
            <w:noWrap/>
            <w:hideMark/>
          </w:tcPr>
          <w:p w14:paraId="3CD395F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14</w:t>
            </w:r>
          </w:p>
        </w:tc>
      </w:tr>
      <w:tr w:rsidR="0024586E" w:rsidRPr="00914B98" w14:paraId="27B2EAE0" w14:textId="77777777" w:rsidTr="009A58B0">
        <w:trPr>
          <w:trHeight w:val="520"/>
        </w:trPr>
        <w:tc>
          <w:tcPr>
            <w:tcW w:w="2381" w:type="pct"/>
            <w:tcBorders>
              <w:top w:val="single" w:sz="4" w:space="0" w:color="8ED973"/>
              <w:left w:val="single" w:sz="4" w:space="0" w:color="4EA72E"/>
              <w:bottom w:val="nil"/>
              <w:right w:val="nil"/>
            </w:tcBorders>
            <w:hideMark/>
          </w:tcPr>
          <w:p w14:paraId="755CCEE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nově přijatých žáků do 1. ročníku středního vzdělávání s maturitní zkouškou v negymnaziálních oborech v denní formě vzdělávání</w:t>
            </w:r>
          </w:p>
        </w:tc>
        <w:tc>
          <w:tcPr>
            <w:tcW w:w="634" w:type="pct"/>
            <w:tcBorders>
              <w:top w:val="single" w:sz="4" w:space="0" w:color="8ED973"/>
              <w:left w:val="nil"/>
              <w:bottom w:val="nil"/>
              <w:right w:val="nil"/>
            </w:tcBorders>
            <w:noWrap/>
            <w:hideMark/>
          </w:tcPr>
          <w:p w14:paraId="047B679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 na vzdělávání</w:t>
            </w:r>
          </w:p>
        </w:tc>
        <w:tc>
          <w:tcPr>
            <w:tcW w:w="1154" w:type="pct"/>
            <w:tcBorders>
              <w:top w:val="single" w:sz="4" w:space="0" w:color="8ED973"/>
              <w:left w:val="nil"/>
              <w:bottom w:val="nil"/>
              <w:right w:val="nil"/>
            </w:tcBorders>
            <w:noWrap/>
            <w:hideMark/>
          </w:tcPr>
          <w:p w14:paraId="0D40D6C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Přijímání ke vzdělávání</w:t>
            </w:r>
          </w:p>
        </w:tc>
        <w:tc>
          <w:tcPr>
            <w:tcW w:w="546" w:type="pct"/>
            <w:tcBorders>
              <w:top w:val="single" w:sz="4" w:space="0" w:color="8ED973"/>
              <w:left w:val="nil"/>
              <w:bottom w:val="nil"/>
              <w:right w:val="nil"/>
            </w:tcBorders>
            <w:noWrap/>
            <w:hideMark/>
          </w:tcPr>
          <w:p w14:paraId="0B7B82F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SŠ</w:t>
            </w:r>
          </w:p>
        </w:tc>
        <w:tc>
          <w:tcPr>
            <w:tcW w:w="285" w:type="pct"/>
            <w:tcBorders>
              <w:top w:val="single" w:sz="4" w:space="0" w:color="8ED973"/>
              <w:left w:val="nil"/>
              <w:bottom w:val="nil"/>
              <w:right w:val="single" w:sz="4" w:space="0" w:color="4EA72E"/>
            </w:tcBorders>
            <w:noWrap/>
            <w:hideMark/>
          </w:tcPr>
          <w:p w14:paraId="1C5C9AF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0D2AF582" w14:textId="77777777" w:rsidTr="009A58B0">
        <w:trPr>
          <w:trHeight w:val="290"/>
        </w:trPr>
        <w:tc>
          <w:tcPr>
            <w:tcW w:w="2381" w:type="pct"/>
            <w:tcBorders>
              <w:top w:val="single" w:sz="4" w:space="0" w:color="8ED973"/>
              <w:left w:val="single" w:sz="4" w:space="0" w:color="4EA72E"/>
              <w:bottom w:val="nil"/>
              <w:right w:val="nil"/>
            </w:tcBorders>
            <w:hideMark/>
          </w:tcPr>
          <w:p w14:paraId="15E95CB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žáků ve speciálních třídách SŠ</w:t>
            </w:r>
          </w:p>
        </w:tc>
        <w:tc>
          <w:tcPr>
            <w:tcW w:w="634" w:type="pct"/>
            <w:tcBorders>
              <w:top w:val="single" w:sz="4" w:space="0" w:color="8ED973"/>
              <w:left w:val="nil"/>
              <w:bottom w:val="nil"/>
              <w:right w:val="nil"/>
            </w:tcBorders>
            <w:noWrap/>
            <w:hideMark/>
          </w:tcPr>
          <w:p w14:paraId="3497451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 na vzdělávání</w:t>
            </w:r>
          </w:p>
        </w:tc>
        <w:tc>
          <w:tcPr>
            <w:tcW w:w="1154" w:type="pct"/>
            <w:tcBorders>
              <w:top w:val="single" w:sz="4" w:space="0" w:color="8ED973"/>
              <w:left w:val="nil"/>
              <w:bottom w:val="nil"/>
              <w:right w:val="nil"/>
            </w:tcBorders>
            <w:noWrap/>
            <w:hideMark/>
          </w:tcPr>
          <w:p w14:paraId="2A42E81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Účastníci vzdělávání</w:t>
            </w:r>
          </w:p>
        </w:tc>
        <w:tc>
          <w:tcPr>
            <w:tcW w:w="546" w:type="pct"/>
            <w:tcBorders>
              <w:top w:val="single" w:sz="4" w:space="0" w:color="8ED973"/>
              <w:left w:val="nil"/>
              <w:bottom w:val="nil"/>
              <w:right w:val="nil"/>
            </w:tcBorders>
            <w:noWrap/>
            <w:hideMark/>
          </w:tcPr>
          <w:p w14:paraId="63CF691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SŠ</w:t>
            </w:r>
          </w:p>
        </w:tc>
        <w:tc>
          <w:tcPr>
            <w:tcW w:w="285" w:type="pct"/>
            <w:tcBorders>
              <w:top w:val="single" w:sz="4" w:space="0" w:color="8ED973"/>
              <w:left w:val="nil"/>
              <w:bottom w:val="nil"/>
              <w:right w:val="single" w:sz="4" w:space="0" w:color="4EA72E"/>
            </w:tcBorders>
            <w:noWrap/>
            <w:hideMark/>
          </w:tcPr>
          <w:p w14:paraId="26FE846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72545F80" w14:textId="77777777" w:rsidTr="009A58B0">
        <w:trPr>
          <w:trHeight w:val="290"/>
        </w:trPr>
        <w:tc>
          <w:tcPr>
            <w:tcW w:w="2381" w:type="pct"/>
            <w:tcBorders>
              <w:top w:val="single" w:sz="4" w:space="0" w:color="8ED973"/>
              <w:left w:val="single" w:sz="4" w:space="0" w:color="4EA72E"/>
              <w:bottom w:val="nil"/>
              <w:right w:val="nil"/>
            </w:tcBorders>
            <w:hideMark/>
          </w:tcPr>
          <w:p w14:paraId="441940A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dětí ve speciálních třídách MŠ</w:t>
            </w:r>
          </w:p>
        </w:tc>
        <w:tc>
          <w:tcPr>
            <w:tcW w:w="634" w:type="pct"/>
            <w:tcBorders>
              <w:top w:val="single" w:sz="4" w:space="0" w:color="8ED973"/>
              <w:left w:val="nil"/>
              <w:bottom w:val="nil"/>
              <w:right w:val="nil"/>
            </w:tcBorders>
            <w:noWrap/>
            <w:hideMark/>
          </w:tcPr>
          <w:p w14:paraId="17D180D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 na vzdělávání</w:t>
            </w:r>
          </w:p>
        </w:tc>
        <w:tc>
          <w:tcPr>
            <w:tcW w:w="1154" w:type="pct"/>
            <w:tcBorders>
              <w:top w:val="single" w:sz="4" w:space="0" w:color="8ED973"/>
              <w:left w:val="nil"/>
              <w:bottom w:val="nil"/>
              <w:right w:val="nil"/>
            </w:tcBorders>
            <w:noWrap/>
            <w:hideMark/>
          </w:tcPr>
          <w:p w14:paraId="5B48607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Účastníci vzdělávání</w:t>
            </w:r>
          </w:p>
        </w:tc>
        <w:tc>
          <w:tcPr>
            <w:tcW w:w="546" w:type="pct"/>
            <w:tcBorders>
              <w:top w:val="single" w:sz="4" w:space="0" w:color="8ED973"/>
              <w:left w:val="nil"/>
              <w:bottom w:val="nil"/>
              <w:right w:val="nil"/>
            </w:tcBorders>
            <w:noWrap/>
            <w:hideMark/>
          </w:tcPr>
          <w:p w14:paraId="02AA97F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MŠ</w:t>
            </w:r>
          </w:p>
        </w:tc>
        <w:tc>
          <w:tcPr>
            <w:tcW w:w="285" w:type="pct"/>
            <w:tcBorders>
              <w:top w:val="single" w:sz="4" w:space="0" w:color="8ED973"/>
              <w:left w:val="nil"/>
              <w:bottom w:val="nil"/>
              <w:right w:val="single" w:sz="4" w:space="0" w:color="4EA72E"/>
            </w:tcBorders>
            <w:noWrap/>
            <w:hideMark/>
          </w:tcPr>
          <w:p w14:paraId="6593CE0B"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14</w:t>
            </w:r>
          </w:p>
        </w:tc>
      </w:tr>
      <w:tr w:rsidR="0024586E" w:rsidRPr="00914B98" w14:paraId="61540915" w14:textId="77777777" w:rsidTr="009A58B0">
        <w:trPr>
          <w:trHeight w:val="290"/>
        </w:trPr>
        <w:tc>
          <w:tcPr>
            <w:tcW w:w="2381" w:type="pct"/>
            <w:tcBorders>
              <w:top w:val="single" w:sz="4" w:space="0" w:color="8ED973"/>
              <w:left w:val="single" w:sz="4" w:space="0" w:color="4EA72E"/>
              <w:bottom w:val="nil"/>
              <w:right w:val="nil"/>
            </w:tcBorders>
            <w:hideMark/>
          </w:tcPr>
          <w:p w14:paraId="29E0AAB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 xml:space="preserve">Podíl žáků aspirujících v JPZ na maturitní obory </w:t>
            </w:r>
          </w:p>
        </w:tc>
        <w:tc>
          <w:tcPr>
            <w:tcW w:w="634" w:type="pct"/>
            <w:tcBorders>
              <w:top w:val="single" w:sz="4" w:space="0" w:color="8ED973"/>
              <w:left w:val="nil"/>
              <w:bottom w:val="nil"/>
              <w:right w:val="nil"/>
            </w:tcBorders>
            <w:noWrap/>
            <w:hideMark/>
          </w:tcPr>
          <w:p w14:paraId="2B02C43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Účast na vzdělávání</w:t>
            </w:r>
          </w:p>
        </w:tc>
        <w:tc>
          <w:tcPr>
            <w:tcW w:w="1154" w:type="pct"/>
            <w:tcBorders>
              <w:top w:val="single" w:sz="4" w:space="0" w:color="8ED973"/>
              <w:left w:val="nil"/>
              <w:bottom w:val="nil"/>
              <w:right w:val="nil"/>
            </w:tcBorders>
            <w:noWrap/>
            <w:hideMark/>
          </w:tcPr>
          <w:p w14:paraId="242F3F1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Vzdělanostní aspirace</w:t>
            </w:r>
          </w:p>
        </w:tc>
        <w:tc>
          <w:tcPr>
            <w:tcW w:w="546" w:type="pct"/>
            <w:tcBorders>
              <w:top w:val="single" w:sz="4" w:space="0" w:color="8ED973"/>
              <w:left w:val="nil"/>
              <w:bottom w:val="nil"/>
              <w:right w:val="nil"/>
            </w:tcBorders>
            <w:noWrap/>
            <w:hideMark/>
          </w:tcPr>
          <w:p w14:paraId="4395050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 SŠ</w:t>
            </w:r>
          </w:p>
        </w:tc>
        <w:tc>
          <w:tcPr>
            <w:tcW w:w="285" w:type="pct"/>
            <w:tcBorders>
              <w:top w:val="single" w:sz="4" w:space="0" w:color="8ED973"/>
              <w:left w:val="nil"/>
              <w:bottom w:val="nil"/>
              <w:right w:val="single" w:sz="4" w:space="0" w:color="4EA72E"/>
            </w:tcBorders>
            <w:noWrap/>
            <w:hideMark/>
          </w:tcPr>
          <w:p w14:paraId="46EF31B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r w:rsidR="0024586E" w:rsidRPr="00914B98" w14:paraId="79AD3FF6" w14:textId="77777777" w:rsidTr="009A58B0">
        <w:trPr>
          <w:trHeight w:val="290"/>
        </w:trPr>
        <w:tc>
          <w:tcPr>
            <w:tcW w:w="2381" w:type="pct"/>
            <w:tcBorders>
              <w:top w:val="single" w:sz="4" w:space="0" w:color="8ED973"/>
              <w:left w:val="single" w:sz="4" w:space="0" w:color="4EA72E"/>
              <w:bottom w:val="nil"/>
              <w:right w:val="nil"/>
            </w:tcBorders>
            <w:hideMark/>
          </w:tcPr>
          <w:p w14:paraId="6FED5A4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hodin, které byly odučeny učiteli aprobovanými pro daný předmět</w:t>
            </w:r>
          </w:p>
        </w:tc>
        <w:tc>
          <w:tcPr>
            <w:tcW w:w="634" w:type="pct"/>
            <w:tcBorders>
              <w:top w:val="single" w:sz="4" w:space="0" w:color="8ED973"/>
              <w:left w:val="nil"/>
              <w:bottom w:val="nil"/>
              <w:right w:val="nil"/>
            </w:tcBorders>
            <w:noWrap/>
            <w:hideMark/>
          </w:tcPr>
          <w:p w14:paraId="7FACFBA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Výuka</w:t>
            </w:r>
          </w:p>
        </w:tc>
        <w:tc>
          <w:tcPr>
            <w:tcW w:w="1154" w:type="pct"/>
            <w:tcBorders>
              <w:top w:val="single" w:sz="4" w:space="0" w:color="8ED973"/>
              <w:left w:val="nil"/>
              <w:bottom w:val="nil"/>
              <w:right w:val="nil"/>
            </w:tcBorders>
            <w:noWrap/>
            <w:hideMark/>
          </w:tcPr>
          <w:p w14:paraId="2A3E455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Aprobovanost</w:t>
            </w:r>
          </w:p>
        </w:tc>
        <w:tc>
          <w:tcPr>
            <w:tcW w:w="546" w:type="pct"/>
            <w:tcBorders>
              <w:top w:val="single" w:sz="4" w:space="0" w:color="8ED973"/>
              <w:left w:val="nil"/>
              <w:bottom w:val="nil"/>
              <w:right w:val="nil"/>
            </w:tcBorders>
            <w:noWrap/>
            <w:hideMark/>
          </w:tcPr>
          <w:p w14:paraId="31F75CE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 SŠ</w:t>
            </w:r>
          </w:p>
        </w:tc>
        <w:tc>
          <w:tcPr>
            <w:tcW w:w="285" w:type="pct"/>
            <w:tcBorders>
              <w:top w:val="single" w:sz="4" w:space="0" w:color="8ED973"/>
              <w:left w:val="nil"/>
              <w:bottom w:val="nil"/>
              <w:right w:val="single" w:sz="4" w:space="0" w:color="4EA72E"/>
            </w:tcBorders>
            <w:noWrap/>
            <w:hideMark/>
          </w:tcPr>
          <w:p w14:paraId="79B396CD"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14</w:t>
            </w:r>
          </w:p>
        </w:tc>
      </w:tr>
      <w:tr w:rsidR="0024586E" w:rsidRPr="00914B98" w14:paraId="7B1F1C91" w14:textId="77777777" w:rsidTr="009A58B0">
        <w:trPr>
          <w:trHeight w:val="290"/>
        </w:trPr>
        <w:tc>
          <w:tcPr>
            <w:tcW w:w="2381" w:type="pct"/>
            <w:tcBorders>
              <w:top w:val="single" w:sz="4" w:space="0" w:color="8ED973"/>
              <w:left w:val="single" w:sz="4" w:space="0" w:color="4EA72E"/>
              <w:bottom w:val="nil"/>
              <w:right w:val="nil"/>
            </w:tcBorders>
            <w:hideMark/>
          </w:tcPr>
          <w:p w14:paraId="067BCC90"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počítačů (přístupných žákům) na 100 žáků 1. stupně ZŠ</w:t>
            </w:r>
          </w:p>
        </w:tc>
        <w:tc>
          <w:tcPr>
            <w:tcW w:w="634" w:type="pct"/>
            <w:tcBorders>
              <w:top w:val="single" w:sz="4" w:space="0" w:color="8ED973"/>
              <w:left w:val="nil"/>
              <w:bottom w:val="nil"/>
              <w:right w:val="nil"/>
            </w:tcBorders>
            <w:noWrap/>
            <w:hideMark/>
          </w:tcPr>
          <w:p w14:paraId="56635E18"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Výuka</w:t>
            </w:r>
          </w:p>
        </w:tc>
        <w:tc>
          <w:tcPr>
            <w:tcW w:w="1154" w:type="pct"/>
            <w:tcBorders>
              <w:top w:val="single" w:sz="4" w:space="0" w:color="8ED973"/>
              <w:left w:val="nil"/>
              <w:bottom w:val="nil"/>
              <w:right w:val="nil"/>
            </w:tcBorders>
            <w:noWrap/>
            <w:hideMark/>
          </w:tcPr>
          <w:p w14:paraId="3D1D97E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ICT</w:t>
            </w:r>
          </w:p>
        </w:tc>
        <w:tc>
          <w:tcPr>
            <w:tcW w:w="546" w:type="pct"/>
            <w:tcBorders>
              <w:top w:val="single" w:sz="4" w:space="0" w:color="8ED973"/>
              <w:left w:val="nil"/>
              <w:bottom w:val="nil"/>
              <w:right w:val="nil"/>
            </w:tcBorders>
            <w:noWrap/>
            <w:hideMark/>
          </w:tcPr>
          <w:p w14:paraId="335898C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68EA2F22"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365F892A" w14:textId="77777777" w:rsidTr="009A58B0">
        <w:trPr>
          <w:trHeight w:val="290"/>
        </w:trPr>
        <w:tc>
          <w:tcPr>
            <w:tcW w:w="2381" w:type="pct"/>
            <w:tcBorders>
              <w:top w:val="single" w:sz="4" w:space="0" w:color="8ED973"/>
              <w:left w:val="single" w:sz="4" w:space="0" w:color="4EA72E"/>
              <w:bottom w:val="nil"/>
              <w:right w:val="nil"/>
            </w:tcBorders>
            <w:hideMark/>
          </w:tcPr>
          <w:p w14:paraId="7397D21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Počet počítačů (přístupných žákům) na 100 žáků 2. stupně ZŠ</w:t>
            </w:r>
          </w:p>
        </w:tc>
        <w:tc>
          <w:tcPr>
            <w:tcW w:w="634" w:type="pct"/>
            <w:tcBorders>
              <w:top w:val="single" w:sz="4" w:space="0" w:color="8ED973"/>
              <w:left w:val="nil"/>
              <w:bottom w:val="nil"/>
              <w:right w:val="nil"/>
            </w:tcBorders>
            <w:noWrap/>
            <w:hideMark/>
          </w:tcPr>
          <w:p w14:paraId="2264DB6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Výuka</w:t>
            </w:r>
          </w:p>
        </w:tc>
        <w:tc>
          <w:tcPr>
            <w:tcW w:w="1154" w:type="pct"/>
            <w:tcBorders>
              <w:top w:val="single" w:sz="4" w:space="0" w:color="8ED973"/>
              <w:left w:val="nil"/>
              <w:bottom w:val="nil"/>
              <w:right w:val="nil"/>
            </w:tcBorders>
            <w:noWrap/>
            <w:hideMark/>
          </w:tcPr>
          <w:p w14:paraId="12411CA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ICT</w:t>
            </w:r>
          </w:p>
        </w:tc>
        <w:tc>
          <w:tcPr>
            <w:tcW w:w="546" w:type="pct"/>
            <w:tcBorders>
              <w:top w:val="single" w:sz="4" w:space="0" w:color="8ED973"/>
              <w:left w:val="nil"/>
              <w:bottom w:val="nil"/>
              <w:right w:val="nil"/>
            </w:tcBorders>
            <w:noWrap/>
            <w:hideMark/>
          </w:tcPr>
          <w:p w14:paraId="66F4717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4AB25479"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13</w:t>
            </w:r>
          </w:p>
        </w:tc>
      </w:tr>
      <w:tr w:rsidR="0024586E" w:rsidRPr="00914B98" w14:paraId="211A2D7B" w14:textId="77777777" w:rsidTr="009A58B0">
        <w:trPr>
          <w:trHeight w:val="520"/>
        </w:trPr>
        <w:tc>
          <w:tcPr>
            <w:tcW w:w="2381" w:type="pct"/>
            <w:tcBorders>
              <w:top w:val="single" w:sz="4" w:space="0" w:color="8ED973"/>
              <w:left w:val="single" w:sz="4" w:space="0" w:color="4EA72E"/>
              <w:bottom w:val="nil"/>
              <w:right w:val="nil"/>
            </w:tcBorders>
            <w:hideMark/>
          </w:tcPr>
          <w:p w14:paraId="0A1DD69E"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žáků souhlasících s výrokem cítím, že do školy patřím (žáci 4. ročníků ZŠ)</w:t>
            </w:r>
          </w:p>
        </w:tc>
        <w:tc>
          <w:tcPr>
            <w:tcW w:w="634" w:type="pct"/>
            <w:tcBorders>
              <w:top w:val="single" w:sz="4" w:space="0" w:color="8ED973"/>
              <w:left w:val="nil"/>
              <w:bottom w:val="nil"/>
              <w:right w:val="nil"/>
            </w:tcBorders>
            <w:noWrap/>
            <w:hideMark/>
          </w:tcPr>
          <w:p w14:paraId="35BF346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Well-being</w:t>
            </w:r>
          </w:p>
        </w:tc>
        <w:tc>
          <w:tcPr>
            <w:tcW w:w="1154" w:type="pct"/>
            <w:tcBorders>
              <w:top w:val="single" w:sz="4" w:space="0" w:color="8ED973"/>
              <w:left w:val="nil"/>
              <w:bottom w:val="nil"/>
              <w:right w:val="nil"/>
            </w:tcBorders>
            <w:noWrap/>
            <w:hideMark/>
          </w:tcPr>
          <w:p w14:paraId="034943E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Sounáležitost se školou</w:t>
            </w:r>
          </w:p>
        </w:tc>
        <w:tc>
          <w:tcPr>
            <w:tcW w:w="546" w:type="pct"/>
            <w:tcBorders>
              <w:top w:val="single" w:sz="4" w:space="0" w:color="8ED973"/>
              <w:left w:val="nil"/>
              <w:bottom w:val="nil"/>
              <w:right w:val="nil"/>
            </w:tcBorders>
            <w:noWrap/>
            <w:hideMark/>
          </w:tcPr>
          <w:p w14:paraId="2CBFE15F"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5835C02C"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w:t>
            </w:r>
          </w:p>
        </w:tc>
      </w:tr>
      <w:tr w:rsidR="0024586E" w:rsidRPr="00914B98" w14:paraId="3055A0AD" w14:textId="77777777" w:rsidTr="009A58B0">
        <w:trPr>
          <w:trHeight w:val="520"/>
        </w:trPr>
        <w:tc>
          <w:tcPr>
            <w:tcW w:w="2381" w:type="pct"/>
            <w:tcBorders>
              <w:top w:val="single" w:sz="4" w:space="0" w:color="8ED973"/>
              <w:left w:val="single" w:sz="4" w:space="0" w:color="4EA72E"/>
              <w:bottom w:val="nil"/>
              <w:right w:val="nil"/>
            </w:tcBorders>
            <w:hideMark/>
          </w:tcPr>
          <w:p w14:paraId="044F84D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žáků vyjadřujících souhlas s výrokem "Cítím, že do školy patřím" (PISA, 15letí)</w:t>
            </w:r>
          </w:p>
        </w:tc>
        <w:tc>
          <w:tcPr>
            <w:tcW w:w="634" w:type="pct"/>
            <w:tcBorders>
              <w:top w:val="single" w:sz="4" w:space="0" w:color="8ED973"/>
              <w:left w:val="nil"/>
              <w:bottom w:val="nil"/>
              <w:right w:val="nil"/>
            </w:tcBorders>
            <w:noWrap/>
            <w:hideMark/>
          </w:tcPr>
          <w:p w14:paraId="79A774E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Well-being</w:t>
            </w:r>
          </w:p>
        </w:tc>
        <w:tc>
          <w:tcPr>
            <w:tcW w:w="1154" w:type="pct"/>
            <w:tcBorders>
              <w:top w:val="single" w:sz="4" w:space="0" w:color="8ED973"/>
              <w:left w:val="nil"/>
              <w:bottom w:val="nil"/>
              <w:right w:val="nil"/>
            </w:tcBorders>
            <w:noWrap/>
            <w:hideMark/>
          </w:tcPr>
          <w:p w14:paraId="283BE0F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Sounáležitost se školou</w:t>
            </w:r>
          </w:p>
        </w:tc>
        <w:tc>
          <w:tcPr>
            <w:tcW w:w="546" w:type="pct"/>
            <w:tcBorders>
              <w:top w:val="single" w:sz="4" w:space="0" w:color="8ED973"/>
              <w:left w:val="nil"/>
              <w:bottom w:val="nil"/>
              <w:right w:val="nil"/>
            </w:tcBorders>
            <w:noWrap/>
            <w:hideMark/>
          </w:tcPr>
          <w:p w14:paraId="1C3215B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 SŠ</w:t>
            </w:r>
          </w:p>
        </w:tc>
        <w:tc>
          <w:tcPr>
            <w:tcW w:w="285" w:type="pct"/>
            <w:tcBorders>
              <w:top w:val="single" w:sz="4" w:space="0" w:color="8ED973"/>
              <w:left w:val="nil"/>
              <w:bottom w:val="nil"/>
              <w:right w:val="single" w:sz="4" w:space="0" w:color="4EA72E"/>
            </w:tcBorders>
            <w:noWrap/>
            <w:hideMark/>
          </w:tcPr>
          <w:p w14:paraId="4877A083"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14</w:t>
            </w:r>
          </w:p>
        </w:tc>
      </w:tr>
      <w:tr w:rsidR="0024586E" w:rsidRPr="00914B98" w14:paraId="024B20CE" w14:textId="77777777" w:rsidTr="009A58B0">
        <w:trPr>
          <w:trHeight w:val="520"/>
        </w:trPr>
        <w:tc>
          <w:tcPr>
            <w:tcW w:w="2381" w:type="pct"/>
            <w:tcBorders>
              <w:top w:val="single" w:sz="4" w:space="0" w:color="8ED973"/>
              <w:left w:val="single" w:sz="4" w:space="0" w:color="4EA72E"/>
              <w:bottom w:val="nil"/>
              <w:right w:val="nil"/>
            </w:tcBorders>
            <w:hideMark/>
          </w:tcPr>
          <w:p w14:paraId="6001D394"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Podíl žáků 4. tříd ZŠ s excelentními výsledky v testech matematických dovedností (TIMSS)</w:t>
            </w:r>
          </w:p>
        </w:tc>
        <w:tc>
          <w:tcPr>
            <w:tcW w:w="634" w:type="pct"/>
            <w:tcBorders>
              <w:top w:val="single" w:sz="4" w:space="0" w:color="8ED973"/>
              <w:left w:val="nil"/>
              <w:bottom w:val="nil"/>
              <w:right w:val="nil"/>
            </w:tcBorders>
            <w:noWrap/>
            <w:hideMark/>
          </w:tcPr>
          <w:p w14:paraId="411EC096"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Nerovnosti</w:t>
            </w:r>
          </w:p>
        </w:tc>
        <w:tc>
          <w:tcPr>
            <w:tcW w:w="1154" w:type="pct"/>
            <w:tcBorders>
              <w:top w:val="single" w:sz="4" w:space="0" w:color="8ED973"/>
              <w:left w:val="nil"/>
              <w:bottom w:val="nil"/>
              <w:right w:val="nil"/>
            </w:tcBorders>
            <w:noWrap/>
            <w:hideMark/>
          </w:tcPr>
          <w:p w14:paraId="53CF22F1"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Žáci v dovednostních úrovních</w:t>
            </w:r>
          </w:p>
        </w:tc>
        <w:tc>
          <w:tcPr>
            <w:tcW w:w="546" w:type="pct"/>
            <w:tcBorders>
              <w:top w:val="single" w:sz="4" w:space="0" w:color="8ED973"/>
              <w:left w:val="nil"/>
              <w:bottom w:val="nil"/>
              <w:right w:val="nil"/>
            </w:tcBorders>
            <w:noWrap/>
            <w:hideMark/>
          </w:tcPr>
          <w:p w14:paraId="4C7C5955"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ZŠ</w:t>
            </w:r>
          </w:p>
        </w:tc>
        <w:tc>
          <w:tcPr>
            <w:tcW w:w="285" w:type="pct"/>
            <w:tcBorders>
              <w:top w:val="single" w:sz="4" w:space="0" w:color="8ED973"/>
              <w:left w:val="nil"/>
              <w:bottom w:val="nil"/>
              <w:right w:val="single" w:sz="4" w:space="0" w:color="4EA72E"/>
            </w:tcBorders>
            <w:noWrap/>
            <w:hideMark/>
          </w:tcPr>
          <w:p w14:paraId="597BED4A" w14:textId="77777777" w:rsidR="0024586E" w:rsidRPr="00914B98" w:rsidRDefault="0024586E" w:rsidP="009574F4">
            <w:pPr>
              <w:spacing w:after="0"/>
              <w:rPr>
                <w:rFonts w:eastAsia="Times New Roman" w:cs="Calibri"/>
                <w:color w:val="000000"/>
                <w:sz w:val="20"/>
                <w:szCs w:val="20"/>
                <w:lang w:eastAsia="cs-CZ"/>
              </w:rPr>
            </w:pPr>
            <w:r w:rsidRPr="00914B98">
              <w:rPr>
                <w:rFonts w:eastAsia="Times New Roman" w:cs="Calibri"/>
                <w:color w:val="000000"/>
                <w:sz w:val="20"/>
                <w:szCs w:val="20"/>
                <w:lang w:eastAsia="cs-CZ"/>
              </w:rPr>
              <w:t>2</w:t>
            </w:r>
          </w:p>
        </w:tc>
      </w:tr>
    </w:tbl>
    <w:p w14:paraId="1736280D" w14:textId="77777777" w:rsidR="0024586E" w:rsidRPr="000F126B" w:rsidRDefault="0024586E" w:rsidP="0024586E">
      <w:pPr>
        <w:pStyle w:val="Odstavecseseznamem"/>
        <w:jc w:val="both"/>
        <w:rPr>
          <w:sz w:val="8"/>
          <w:szCs w:val="8"/>
        </w:rPr>
      </w:pPr>
    </w:p>
    <w:p w14:paraId="40ED2FE1" w14:textId="77777777" w:rsidR="00D96059" w:rsidRDefault="00D96059">
      <w:pPr>
        <w:spacing w:line="276" w:lineRule="auto"/>
        <w:rPr>
          <w:rFonts w:eastAsiaTheme="majorEastAsia" w:cstheme="majorBidi"/>
          <w:b/>
          <w:color w:val="4C4C4C"/>
          <w:sz w:val="24"/>
          <w:szCs w:val="23"/>
        </w:rPr>
      </w:pPr>
      <w:r>
        <w:br w:type="page"/>
      </w:r>
    </w:p>
    <w:p w14:paraId="13AB2A75" w14:textId="57AA723B" w:rsidR="0024586E" w:rsidRDefault="0024586E" w:rsidP="0024586E">
      <w:pPr>
        <w:pStyle w:val="Nadpis4"/>
        <w:rPr>
          <w:b w:val="0"/>
        </w:rPr>
      </w:pPr>
      <w:r>
        <w:lastRenderedPageBreak/>
        <w:t>Jihočeský kraj</w:t>
      </w:r>
    </w:p>
    <w:p w14:paraId="288889AC" w14:textId="77777777" w:rsidR="0024586E" w:rsidRPr="00D009F4" w:rsidRDefault="0024586E" w:rsidP="0024586E">
      <w:pPr>
        <w:jc w:val="both"/>
      </w:pPr>
      <w:r>
        <w:t xml:space="preserve">Jihočeský kraj je na tom relativně dobře v oblasti kvalifikovanosti učitelů a je zde vysoká míra aprobovanosti výuky. Má nejnižší počet úvazků asistenta pedagoga na 10 tis. dětí v MŠ. Podíl žáků vzdělávaných v neveřejných školách je na úrovni ZŠ vysoký, na úrovni SŠ oproti tomu nízký. Je tu vysoký podíl 2letých a 5letých dětí, které navštěvují MŠ. Podíl žáků ve speciálních třídách základních a středních škol je nízký. Nízký je také podíl žáků se zdravotním znevýhodněním v běžných třídách středních škol. Na 1. stupni ZŠ je nízká míra opakování ročníku. V mezinárodních šetřeních žáci Jihočeského kraje zpravidla nedosahují výrazně dobrých ani špatných výsledků. Průměrný výsledek žáků 4. ročníku v testech čtenářské gramotnosti PIRLS byl slabý a podíl žáků s nedostatečnými výsledky vysoký. Naopak v šetření TIMSS vysoký podíl žáků </w:t>
      </w:r>
      <w:r w:rsidRPr="00D009F4">
        <w:t xml:space="preserve">4. tříd ZŠ </w:t>
      </w:r>
      <w:r>
        <w:t xml:space="preserve">dosáhl na </w:t>
      </w:r>
      <w:r w:rsidRPr="00D009F4">
        <w:t>excelentními výsledky v testech přírodovědných dovedností</w:t>
      </w:r>
      <w:r>
        <w:t>. U žáků 8. ročníku byl zjištěn nízký pocit sounáležitosti se školou. Nízká byla také hodnota indexu šikany u žáků 4. a 8. ročníku ZŠ.</w:t>
      </w:r>
    </w:p>
    <w:tbl>
      <w:tblPr>
        <w:tblW w:w="14312" w:type="dxa"/>
        <w:tblCellMar>
          <w:left w:w="70" w:type="dxa"/>
          <w:right w:w="70" w:type="dxa"/>
        </w:tblCellMar>
        <w:tblLook w:val="04A0" w:firstRow="1" w:lastRow="0" w:firstColumn="1" w:lastColumn="0" w:noHBand="0" w:noVBand="1"/>
      </w:tblPr>
      <w:tblGrid>
        <w:gridCol w:w="6827"/>
        <w:gridCol w:w="1701"/>
        <w:gridCol w:w="3402"/>
        <w:gridCol w:w="1559"/>
        <w:gridCol w:w="823"/>
      </w:tblGrid>
      <w:tr w:rsidR="0024586E" w:rsidRPr="00B17FEB" w14:paraId="7F8F5E00" w14:textId="77777777" w:rsidTr="009A58B0">
        <w:trPr>
          <w:trHeight w:val="290"/>
          <w:tblHeader/>
        </w:trPr>
        <w:tc>
          <w:tcPr>
            <w:tcW w:w="6827" w:type="dxa"/>
            <w:tcBorders>
              <w:top w:val="single" w:sz="4" w:space="0" w:color="8ED973"/>
              <w:left w:val="single" w:sz="4" w:space="0" w:color="4EA72E"/>
              <w:bottom w:val="nil"/>
              <w:right w:val="nil"/>
            </w:tcBorders>
            <w:shd w:val="clear" w:color="4EA72E" w:fill="4EA72E"/>
            <w:vAlign w:val="bottom"/>
            <w:hideMark/>
          </w:tcPr>
          <w:p w14:paraId="191643AF" w14:textId="77777777" w:rsidR="0024586E" w:rsidRPr="00B17FEB" w:rsidRDefault="0024586E" w:rsidP="009574F4">
            <w:pPr>
              <w:spacing w:after="0"/>
              <w:rPr>
                <w:rFonts w:eastAsia="Times New Roman" w:cs="Calibri"/>
                <w:b/>
                <w:bCs/>
                <w:color w:val="FFFFFF"/>
                <w:sz w:val="20"/>
                <w:szCs w:val="20"/>
                <w:lang w:eastAsia="cs-CZ"/>
              </w:rPr>
            </w:pPr>
            <w:r w:rsidRPr="00B17FEB">
              <w:rPr>
                <w:rFonts w:eastAsia="Times New Roman" w:cs="Calibri"/>
                <w:b/>
                <w:bCs/>
                <w:color w:val="FFFFFF"/>
                <w:sz w:val="20"/>
                <w:szCs w:val="20"/>
                <w:lang w:eastAsia="cs-CZ"/>
              </w:rPr>
              <w:t>Název údaje</w:t>
            </w:r>
          </w:p>
        </w:tc>
        <w:tc>
          <w:tcPr>
            <w:tcW w:w="1701" w:type="dxa"/>
            <w:tcBorders>
              <w:top w:val="single" w:sz="4" w:space="0" w:color="8ED973"/>
              <w:left w:val="nil"/>
              <w:bottom w:val="nil"/>
              <w:right w:val="nil"/>
            </w:tcBorders>
            <w:shd w:val="clear" w:color="4EA72E" w:fill="4EA72E"/>
            <w:noWrap/>
            <w:vAlign w:val="bottom"/>
            <w:hideMark/>
          </w:tcPr>
          <w:p w14:paraId="062F4CE5" w14:textId="77777777" w:rsidR="0024586E" w:rsidRPr="00B17FEB" w:rsidRDefault="0024586E" w:rsidP="009574F4">
            <w:pPr>
              <w:spacing w:after="0"/>
              <w:rPr>
                <w:rFonts w:eastAsia="Times New Roman" w:cs="Calibri"/>
                <w:b/>
                <w:bCs/>
                <w:color w:val="FFFFFF"/>
                <w:sz w:val="20"/>
                <w:szCs w:val="20"/>
                <w:lang w:eastAsia="cs-CZ"/>
              </w:rPr>
            </w:pPr>
            <w:r w:rsidRPr="00B17FEB">
              <w:rPr>
                <w:rFonts w:eastAsia="Times New Roman" w:cs="Calibri"/>
                <w:b/>
                <w:bCs/>
                <w:color w:val="FFFFFF"/>
                <w:sz w:val="20"/>
                <w:szCs w:val="20"/>
                <w:lang w:eastAsia="cs-CZ"/>
              </w:rPr>
              <w:t>Oblast</w:t>
            </w:r>
          </w:p>
        </w:tc>
        <w:tc>
          <w:tcPr>
            <w:tcW w:w="3402" w:type="dxa"/>
            <w:tcBorders>
              <w:top w:val="single" w:sz="4" w:space="0" w:color="8ED973"/>
              <w:left w:val="nil"/>
              <w:bottom w:val="nil"/>
              <w:right w:val="nil"/>
            </w:tcBorders>
            <w:shd w:val="clear" w:color="4EA72E" w:fill="4EA72E"/>
            <w:noWrap/>
            <w:vAlign w:val="bottom"/>
            <w:hideMark/>
          </w:tcPr>
          <w:p w14:paraId="5FA5A922" w14:textId="77777777" w:rsidR="0024586E" w:rsidRPr="00B17FEB" w:rsidRDefault="0024586E" w:rsidP="009574F4">
            <w:pPr>
              <w:spacing w:after="0"/>
              <w:rPr>
                <w:rFonts w:eastAsia="Times New Roman" w:cs="Calibri"/>
                <w:b/>
                <w:bCs/>
                <w:color w:val="FFFFFF"/>
                <w:sz w:val="20"/>
                <w:szCs w:val="20"/>
                <w:lang w:eastAsia="cs-CZ"/>
              </w:rPr>
            </w:pPr>
            <w:r w:rsidRPr="00B17FEB">
              <w:rPr>
                <w:rFonts w:eastAsia="Times New Roman" w:cs="Calibri"/>
                <w:b/>
                <w:bCs/>
                <w:color w:val="FFFFFF"/>
                <w:sz w:val="20"/>
                <w:szCs w:val="20"/>
                <w:lang w:eastAsia="cs-CZ"/>
              </w:rPr>
              <w:t>Podoblast</w:t>
            </w:r>
          </w:p>
        </w:tc>
        <w:tc>
          <w:tcPr>
            <w:tcW w:w="1559" w:type="dxa"/>
            <w:tcBorders>
              <w:top w:val="single" w:sz="4" w:space="0" w:color="8ED973"/>
              <w:left w:val="nil"/>
              <w:bottom w:val="nil"/>
              <w:right w:val="nil"/>
            </w:tcBorders>
            <w:shd w:val="clear" w:color="4EA72E" w:fill="4EA72E"/>
            <w:noWrap/>
            <w:vAlign w:val="bottom"/>
            <w:hideMark/>
          </w:tcPr>
          <w:p w14:paraId="7156632D" w14:textId="77777777" w:rsidR="0024586E" w:rsidRPr="00B17FEB" w:rsidRDefault="0024586E" w:rsidP="009574F4">
            <w:pPr>
              <w:spacing w:after="0"/>
              <w:rPr>
                <w:rFonts w:eastAsia="Times New Roman" w:cs="Calibri"/>
                <w:b/>
                <w:bCs/>
                <w:color w:val="FFFFFF"/>
                <w:sz w:val="20"/>
                <w:szCs w:val="20"/>
                <w:lang w:eastAsia="cs-CZ"/>
              </w:rPr>
            </w:pPr>
            <w:r w:rsidRPr="00B17FEB">
              <w:rPr>
                <w:rFonts w:eastAsia="Times New Roman" w:cs="Calibri"/>
                <w:b/>
                <w:bCs/>
                <w:color w:val="FFFFFF"/>
                <w:sz w:val="20"/>
                <w:szCs w:val="20"/>
                <w:lang w:eastAsia="cs-CZ"/>
              </w:rPr>
              <w:t>Stupeň vzdělání</w:t>
            </w:r>
          </w:p>
        </w:tc>
        <w:tc>
          <w:tcPr>
            <w:tcW w:w="823" w:type="dxa"/>
            <w:tcBorders>
              <w:top w:val="single" w:sz="4" w:space="0" w:color="8ED973"/>
              <w:left w:val="nil"/>
              <w:bottom w:val="nil"/>
              <w:right w:val="single" w:sz="4" w:space="0" w:color="4EA72E"/>
            </w:tcBorders>
            <w:shd w:val="clear" w:color="4EA72E" w:fill="4EA72E"/>
            <w:noWrap/>
            <w:vAlign w:val="bottom"/>
            <w:hideMark/>
          </w:tcPr>
          <w:p w14:paraId="1A27AFC8" w14:textId="77777777" w:rsidR="0024586E" w:rsidRPr="00B17FEB" w:rsidRDefault="0024586E" w:rsidP="009574F4">
            <w:pPr>
              <w:spacing w:after="0"/>
              <w:rPr>
                <w:rFonts w:eastAsia="Times New Roman" w:cs="Calibri"/>
                <w:b/>
                <w:bCs/>
                <w:color w:val="FFFFFF"/>
                <w:sz w:val="20"/>
                <w:szCs w:val="20"/>
                <w:lang w:eastAsia="cs-CZ"/>
              </w:rPr>
            </w:pPr>
            <w:r w:rsidRPr="00B17FEB">
              <w:rPr>
                <w:rFonts w:eastAsia="Times New Roman" w:cs="Calibri"/>
                <w:b/>
                <w:bCs/>
                <w:color w:val="FFFFFF"/>
                <w:sz w:val="20"/>
                <w:szCs w:val="20"/>
                <w:lang w:eastAsia="cs-CZ"/>
              </w:rPr>
              <w:t>Pořadí</w:t>
            </w:r>
          </w:p>
        </w:tc>
      </w:tr>
      <w:tr w:rsidR="0024586E" w:rsidRPr="00B17FEB" w14:paraId="67F994B8" w14:textId="77777777" w:rsidTr="009A58B0">
        <w:trPr>
          <w:trHeight w:val="290"/>
        </w:trPr>
        <w:tc>
          <w:tcPr>
            <w:tcW w:w="6827" w:type="dxa"/>
            <w:tcBorders>
              <w:top w:val="single" w:sz="4" w:space="0" w:color="8ED973"/>
              <w:left w:val="single" w:sz="4" w:space="0" w:color="4EA72E"/>
              <w:bottom w:val="nil"/>
              <w:right w:val="nil"/>
            </w:tcBorders>
            <w:hideMark/>
          </w:tcPr>
          <w:p w14:paraId="3A1617B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Počet úvazků asistenta pedagoga v MŠ na 10 tis. dětí</w:t>
            </w:r>
          </w:p>
        </w:tc>
        <w:tc>
          <w:tcPr>
            <w:tcW w:w="1701" w:type="dxa"/>
            <w:tcBorders>
              <w:top w:val="single" w:sz="4" w:space="0" w:color="8ED973"/>
              <w:left w:val="nil"/>
              <w:bottom w:val="nil"/>
              <w:right w:val="nil"/>
            </w:tcBorders>
            <w:noWrap/>
            <w:hideMark/>
          </w:tcPr>
          <w:p w14:paraId="7C99A3A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Pracovníci ve školství</w:t>
            </w:r>
          </w:p>
        </w:tc>
        <w:tc>
          <w:tcPr>
            <w:tcW w:w="3402" w:type="dxa"/>
            <w:tcBorders>
              <w:top w:val="single" w:sz="4" w:space="0" w:color="8ED973"/>
              <w:left w:val="nil"/>
              <w:bottom w:val="nil"/>
              <w:right w:val="nil"/>
            </w:tcBorders>
            <w:noWrap/>
            <w:hideMark/>
          </w:tcPr>
          <w:p w14:paraId="2D28DA8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Další pedagogické profese/specializace</w:t>
            </w:r>
          </w:p>
        </w:tc>
        <w:tc>
          <w:tcPr>
            <w:tcW w:w="1559" w:type="dxa"/>
            <w:tcBorders>
              <w:top w:val="single" w:sz="4" w:space="0" w:color="8ED973"/>
              <w:left w:val="nil"/>
              <w:bottom w:val="nil"/>
              <w:right w:val="nil"/>
            </w:tcBorders>
            <w:noWrap/>
            <w:hideMark/>
          </w:tcPr>
          <w:p w14:paraId="1354F76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MŠ</w:t>
            </w:r>
          </w:p>
        </w:tc>
        <w:tc>
          <w:tcPr>
            <w:tcW w:w="823" w:type="dxa"/>
            <w:tcBorders>
              <w:top w:val="single" w:sz="4" w:space="0" w:color="8ED973"/>
              <w:left w:val="nil"/>
              <w:bottom w:val="nil"/>
              <w:right w:val="single" w:sz="4" w:space="0" w:color="4EA72E"/>
            </w:tcBorders>
            <w:noWrap/>
            <w:hideMark/>
          </w:tcPr>
          <w:p w14:paraId="3DA46D1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14</w:t>
            </w:r>
          </w:p>
        </w:tc>
      </w:tr>
      <w:tr w:rsidR="0024586E" w:rsidRPr="00B17FEB" w14:paraId="6EAB4B72" w14:textId="77777777" w:rsidTr="009A58B0">
        <w:trPr>
          <w:trHeight w:val="290"/>
        </w:trPr>
        <w:tc>
          <w:tcPr>
            <w:tcW w:w="6827" w:type="dxa"/>
            <w:tcBorders>
              <w:top w:val="single" w:sz="4" w:space="0" w:color="8ED973"/>
              <w:left w:val="single" w:sz="4" w:space="0" w:color="4EA72E"/>
              <w:bottom w:val="nil"/>
              <w:right w:val="nil"/>
            </w:tcBorders>
            <w:hideMark/>
          </w:tcPr>
          <w:p w14:paraId="6CCB4BB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 xml:space="preserve">Podíl nekvalifikovaných učitelů </w:t>
            </w:r>
          </w:p>
        </w:tc>
        <w:tc>
          <w:tcPr>
            <w:tcW w:w="1701" w:type="dxa"/>
            <w:tcBorders>
              <w:top w:val="single" w:sz="4" w:space="0" w:color="8ED973"/>
              <w:left w:val="nil"/>
              <w:bottom w:val="nil"/>
              <w:right w:val="nil"/>
            </w:tcBorders>
            <w:noWrap/>
            <w:hideMark/>
          </w:tcPr>
          <w:p w14:paraId="4E252C8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Pracovníci ve školství</w:t>
            </w:r>
          </w:p>
        </w:tc>
        <w:tc>
          <w:tcPr>
            <w:tcW w:w="3402" w:type="dxa"/>
            <w:tcBorders>
              <w:top w:val="single" w:sz="4" w:space="0" w:color="8ED973"/>
              <w:left w:val="nil"/>
              <w:bottom w:val="nil"/>
              <w:right w:val="nil"/>
            </w:tcBorders>
            <w:noWrap/>
            <w:hideMark/>
          </w:tcPr>
          <w:p w14:paraId="032B4BE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Učitelé</w:t>
            </w:r>
          </w:p>
        </w:tc>
        <w:tc>
          <w:tcPr>
            <w:tcW w:w="1559" w:type="dxa"/>
            <w:tcBorders>
              <w:top w:val="single" w:sz="4" w:space="0" w:color="8ED973"/>
              <w:left w:val="nil"/>
              <w:bottom w:val="nil"/>
              <w:right w:val="nil"/>
            </w:tcBorders>
            <w:noWrap/>
            <w:hideMark/>
          </w:tcPr>
          <w:p w14:paraId="2F0AE017"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MŠ, ZŠ, SŠ</w:t>
            </w:r>
          </w:p>
        </w:tc>
        <w:tc>
          <w:tcPr>
            <w:tcW w:w="823" w:type="dxa"/>
            <w:tcBorders>
              <w:top w:val="single" w:sz="4" w:space="0" w:color="8ED973"/>
              <w:left w:val="nil"/>
              <w:bottom w:val="nil"/>
              <w:right w:val="single" w:sz="4" w:space="0" w:color="4EA72E"/>
            </w:tcBorders>
            <w:noWrap/>
            <w:hideMark/>
          </w:tcPr>
          <w:p w14:paraId="4F4394A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6D8ABFCF" w14:textId="77777777" w:rsidTr="009A58B0">
        <w:trPr>
          <w:trHeight w:val="290"/>
        </w:trPr>
        <w:tc>
          <w:tcPr>
            <w:tcW w:w="6827" w:type="dxa"/>
            <w:tcBorders>
              <w:top w:val="single" w:sz="4" w:space="0" w:color="8ED973"/>
              <w:left w:val="single" w:sz="4" w:space="0" w:color="4EA72E"/>
              <w:bottom w:val="nil"/>
              <w:right w:val="nil"/>
            </w:tcBorders>
            <w:hideMark/>
          </w:tcPr>
          <w:p w14:paraId="3C7A40C3"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nekvalifikovaných učitelů 1. st. ZŠ</w:t>
            </w:r>
          </w:p>
        </w:tc>
        <w:tc>
          <w:tcPr>
            <w:tcW w:w="1701" w:type="dxa"/>
            <w:tcBorders>
              <w:top w:val="single" w:sz="4" w:space="0" w:color="8ED973"/>
              <w:left w:val="nil"/>
              <w:bottom w:val="nil"/>
              <w:right w:val="nil"/>
            </w:tcBorders>
            <w:noWrap/>
            <w:hideMark/>
          </w:tcPr>
          <w:p w14:paraId="3913457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Pracovníci ve školství</w:t>
            </w:r>
          </w:p>
        </w:tc>
        <w:tc>
          <w:tcPr>
            <w:tcW w:w="3402" w:type="dxa"/>
            <w:tcBorders>
              <w:top w:val="single" w:sz="4" w:space="0" w:color="8ED973"/>
              <w:left w:val="nil"/>
              <w:bottom w:val="nil"/>
              <w:right w:val="nil"/>
            </w:tcBorders>
            <w:noWrap/>
            <w:hideMark/>
          </w:tcPr>
          <w:p w14:paraId="335DC5A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Učitelé</w:t>
            </w:r>
          </w:p>
        </w:tc>
        <w:tc>
          <w:tcPr>
            <w:tcW w:w="1559" w:type="dxa"/>
            <w:tcBorders>
              <w:top w:val="single" w:sz="4" w:space="0" w:color="8ED973"/>
              <w:left w:val="nil"/>
              <w:bottom w:val="nil"/>
              <w:right w:val="nil"/>
            </w:tcBorders>
            <w:noWrap/>
            <w:hideMark/>
          </w:tcPr>
          <w:p w14:paraId="2F7420B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1518A551"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21E295F5" w14:textId="77777777" w:rsidTr="009A58B0">
        <w:trPr>
          <w:trHeight w:val="290"/>
        </w:trPr>
        <w:tc>
          <w:tcPr>
            <w:tcW w:w="6827" w:type="dxa"/>
            <w:tcBorders>
              <w:top w:val="single" w:sz="4" w:space="0" w:color="8ED973"/>
              <w:left w:val="single" w:sz="4" w:space="0" w:color="4EA72E"/>
              <w:bottom w:val="nil"/>
              <w:right w:val="nil"/>
            </w:tcBorders>
            <w:hideMark/>
          </w:tcPr>
          <w:p w14:paraId="7EED488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nekvalifikovaných učitelů SŠ</w:t>
            </w:r>
          </w:p>
        </w:tc>
        <w:tc>
          <w:tcPr>
            <w:tcW w:w="1701" w:type="dxa"/>
            <w:tcBorders>
              <w:top w:val="single" w:sz="4" w:space="0" w:color="8ED973"/>
              <w:left w:val="nil"/>
              <w:bottom w:val="nil"/>
              <w:right w:val="nil"/>
            </w:tcBorders>
            <w:noWrap/>
            <w:hideMark/>
          </w:tcPr>
          <w:p w14:paraId="70056033"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Pracovníci ve školství</w:t>
            </w:r>
          </w:p>
        </w:tc>
        <w:tc>
          <w:tcPr>
            <w:tcW w:w="3402" w:type="dxa"/>
            <w:tcBorders>
              <w:top w:val="single" w:sz="4" w:space="0" w:color="8ED973"/>
              <w:left w:val="nil"/>
              <w:bottom w:val="nil"/>
              <w:right w:val="nil"/>
            </w:tcBorders>
            <w:noWrap/>
            <w:hideMark/>
          </w:tcPr>
          <w:p w14:paraId="1948850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Učitelé</w:t>
            </w:r>
          </w:p>
        </w:tc>
        <w:tc>
          <w:tcPr>
            <w:tcW w:w="1559" w:type="dxa"/>
            <w:tcBorders>
              <w:top w:val="single" w:sz="4" w:space="0" w:color="8ED973"/>
              <w:left w:val="nil"/>
              <w:bottom w:val="nil"/>
              <w:right w:val="nil"/>
            </w:tcBorders>
            <w:noWrap/>
            <w:hideMark/>
          </w:tcPr>
          <w:p w14:paraId="0E244B2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SŠ</w:t>
            </w:r>
          </w:p>
        </w:tc>
        <w:tc>
          <w:tcPr>
            <w:tcW w:w="823" w:type="dxa"/>
            <w:tcBorders>
              <w:top w:val="single" w:sz="4" w:space="0" w:color="8ED973"/>
              <w:left w:val="nil"/>
              <w:bottom w:val="nil"/>
              <w:right w:val="single" w:sz="4" w:space="0" w:color="4EA72E"/>
            </w:tcBorders>
            <w:noWrap/>
            <w:hideMark/>
          </w:tcPr>
          <w:p w14:paraId="21645A2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206B43B0" w14:textId="77777777" w:rsidTr="009A58B0">
        <w:trPr>
          <w:trHeight w:val="290"/>
        </w:trPr>
        <w:tc>
          <w:tcPr>
            <w:tcW w:w="6827" w:type="dxa"/>
            <w:tcBorders>
              <w:top w:val="single" w:sz="4" w:space="0" w:color="8ED973"/>
              <w:left w:val="single" w:sz="4" w:space="0" w:color="4EA72E"/>
              <w:bottom w:val="nil"/>
              <w:right w:val="nil"/>
            </w:tcBorders>
            <w:hideMark/>
          </w:tcPr>
          <w:p w14:paraId="0C9F960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vzdělávajících se v neveřejných ZŠ</w:t>
            </w:r>
          </w:p>
        </w:tc>
        <w:tc>
          <w:tcPr>
            <w:tcW w:w="1701" w:type="dxa"/>
            <w:tcBorders>
              <w:top w:val="single" w:sz="4" w:space="0" w:color="8ED973"/>
              <w:left w:val="nil"/>
              <w:bottom w:val="nil"/>
              <w:right w:val="nil"/>
            </w:tcBorders>
            <w:noWrap/>
            <w:hideMark/>
          </w:tcPr>
          <w:p w14:paraId="614C0D1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Školy a zřizovatelé</w:t>
            </w:r>
          </w:p>
        </w:tc>
        <w:tc>
          <w:tcPr>
            <w:tcW w:w="3402" w:type="dxa"/>
            <w:tcBorders>
              <w:top w:val="single" w:sz="4" w:space="0" w:color="8ED973"/>
              <w:left w:val="nil"/>
              <w:bottom w:val="nil"/>
              <w:right w:val="nil"/>
            </w:tcBorders>
            <w:noWrap/>
            <w:hideMark/>
          </w:tcPr>
          <w:p w14:paraId="3DA0320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Zřizovatelé</w:t>
            </w:r>
          </w:p>
        </w:tc>
        <w:tc>
          <w:tcPr>
            <w:tcW w:w="1559" w:type="dxa"/>
            <w:tcBorders>
              <w:top w:val="single" w:sz="4" w:space="0" w:color="8ED973"/>
              <w:left w:val="nil"/>
              <w:bottom w:val="nil"/>
              <w:right w:val="nil"/>
            </w:tcBorders>
            <w:noWrap/>
            <w:hideMark/>
          </w:tcPr>
          <w:p w14:paraId="45AC399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7B2A4A24"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2</w:t>
            </w:r>
          </w:p>
        </w:tc>
      </w:tr>
      <w:tr w:rsidR="0024586E" w:rsidRPr="00B17FEB" w14:paraId="1D21B9C6" w14:textId="77777777" w:rsidTr="009A58B0">
        <w:trPr>
          <w:trHeight w:val="290"/>
        </w:trPr>
        <w:tc>
          <w:tcPr>
            <w:tcW w:w="6827" w:type="dxa"/>
            <w:tcBorders>
              <w:top w:val="single" w:sz="4" w:space="0" w:color="8ED973"/>
              <w:left w:val="single" w:sz="4" w:space="0" w:color="4EA72E"/>
              <w:bottom w:val="nil"/>
              <w:right w:val="nil"/>
            </w:tcBorders>
            <w:hideMark/>
          </w:tcPr>
          <w:p w14:paraId="4E106D1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Počet ZŠ zřizovaných dobrovolným svazkem obcí</w:t>
            </w:r>
          </w:p>
        </w:tc>
        <w:tc>
          <w:tcPr>
            <w:tcW w:w="1701" w:type="dxa"/>
            <w:tcBorders>
              <w:top w:val="single" w:sz="4" w:space="0" w:color="8ED973"/>
              <w:left w:val="nil"/>
              <w:bottom w:val="nil"/>
              <w:right w:val="nil"/>
            </w:tcBorders>
            <w:noWrap/>
            <w:hideMark/>
          </w:tcPr>
          <w:p w14:paraId="6736B18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Školy a zřizovatelé</w:t>
            </w:r>
          </w:p>
        </w:tc>
        <w:tc>
          <w:tcPr>
            <w:tcW w:w="3402" w:type="dxa"/>
            <w:tcBorders>
              <w:top w:val="single" w:sz="4" w:space="0" w:color="8ED973"/>
              <w:left w:val="nil"/>
              <w:bottom w:val="nil"/>
              <w:right w:val="nil"/>
            </w:tcBorders>
            <w:noWrap/>
            <w:hideMark/>
          </w:tcPr>
          <w:p w14:paraId="3845402A"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Zřizovatelé</w:t>
            </w:r>
          </w:p>
        </w:tc>
        <w:tc>
          <w:tcPr>
            <w:tcW w:w="1559" w:type="dxa"/>
            <w:tcBorders>
              <w:top w:val="single" w:sz="4" w:space="0" w:color="8ED973"/>
              <w:left w:val="nil"/>
              <w:bottom w:val="nil"/>
              <w:right w:val="nil"/>
            </w:tcBorders>
            <w:noWrap/>
            <w:hideMark/>
          </w:tcPr>
          <w:p w14:paraId="53BB66F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576A1E8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2</w:t>
            </w:r>
          </w:p>
        </w:tc>
      </w:tr>
      <w:tr w:rsidR="0024586E" w:rsidRPr="00B17FEB" w14:paraId="41F5E218" w14:textId="77777777" w:rsidTr="009A58B0">
        <w:trPr>
          <w:trHeight w:val="290"/>
        </w:trPr>
        <w:tc>
          <w:tcPr>
            <w:tcW w:w="6827" w:type="dxa"/>
            <w:tcBorders>
              <w:top w:val="single" w:sz="4" w:space="0" w:color="8ED973"/>
              <w:left w:val="single" w:sz="4" w:space="0" w:color="4EA72E"/>
              <w:bottom w:val="nil"/>
              <w:right w:val="nil"/>
            </w:tcBorders>
            <w:hideMark/>
          </w:tcPr>
          <w:p w14:paraId="31E0922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vzdělávajících se v neveřejných SŠ</w:t>
            </w:r>
          </w:p>
        </w:tc>
        <w:tc>
          <w:tcPr>
            <w:tcW w:w="1701" w:type="dxa"/>
            <w:tcBorders>
              <w:top w:val="single" w:sz="4" w:space="0" w:color="8ED973"/>
              <w:left w:val="nil"/>
              <w:bottom w:val="nil"/>
              <w:right w:val="nil"/>
            </w:tcBorders>
            <w:noWrap/>
            <w:hideMark/>
          </w:tcPr>
          <w:p w14:paraId="0F53EF5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Školy a zřizovatelé</w:t>
            </w:r>
          </w:p>
        </w:tc>
        <w:tc>
          <w:tcPr>
            <w:tcW w:w="3402" w:type="dxa"/>
            <w:tcBorders>
              <w:top w:val="single" w:sz="4" w:space="0" w:color="8ED973"/>
              <w:left w:val="nil"/>
              <w:bottom w:val="nil"/>
              <w:right w:val="nil"/>
            </w:tcBorders>
            <w:noWrap/>
            <w:hideMark/>
          </w:tcPr>
          <w:p w14:paraId="221171D0"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Zřizovatelé</w:t>
            </w:r>
          </w:p>
        </w:tc>
        <w:tc>
          <w:tcPr>
            <w:tcW w:w="1559" w:type="dxa"/>
            <w:tcBorders>
              <w:top w:val="single" w:sz="4" w:space="0" w:color="8ED973"/>
              <w:left w:val="nil"/>
              <w:bottom w:val="nil"/>
              <w:right w:val="nil"/>
            </w:tcBorders>
            <w:noWrap/>
            <w:hideMark/>
          </w:tcPr>
          <w:p w14:paraId="1247FB8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SŠ</w:t>
            </w:r>
          </w:p>
        </w:tc>
        <w:tc>
          <w:tcPr>
            <w:tcW w:w="823" w:type="dxa"/>
            <w:tcBorders>
              <w:top w:val="single" w:sz="4" w:space="0" w:color="8ED973"/>
              <w:left w:val="nil"/>
              <w:bottom w:val="nil"/>
              <w:right w:val="single" w:sz="4" w:space="0" w:color="4EA72E"/>
            </w:tcBorders>
            <w:noWrap/>
            <w:hideMark/>
          </w:tcPr>
          <w:p w14:paraId="6E8A128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150676DE" w14:textId="77777777" w:rsidTr="009A58B0">
        <w:trPr>
          <w:trHeight w:val="520"/>
        </w:trPr>
        <w:tc>
          <w:tcPr>
            <w:tcW w:w="6827" w:type="dxa"/>
            <w:tcBorders>
              <w:top w:val="single" w:sz="4" w:space="0" w:color="8ED973"/>
              <w:left w:val="single" w:sz="4" w:space="0" w:color="4EA72E"/>
              <w:bottom w:val="nil"/>
              <w:right w:val="nil"/>
            </w:tcBorders>
            <w:hideMark/>
          </w:tcPr>
          <w:p w14:paraId="10EF81C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absolventů středního vzdělávání v oborech bez výučního listu a maturity v denní formě vzdělávání</w:t>
            </w:r>
          </w:p>
        </w:tc>
        <w:tc>
          <w:tcPr>
            <w:tcW w:w="1701" w:type="dxa"/>
            <w:tcBorders>
              <w:top w:val="single" w:sz="4" w:space="0" w:color="8ED973"/>
              <w:left w:val="nil"/>
              <w:bottom w:val="nil"/>
              <w:right w:val="nil"/>
            </w:tcBorders>
            <w:noWrap/>
            <w:hideMark/>
          </w:tcPr>
          <w:p w14:paraId="4F522E3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1EC4EBE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Absolventi</w:t>
            </w:r>
          </w:p>
        </w:tc>
        <w:tc>
          <w:tcPr>
            <w:tcW w:w="1559" w:type="dxa"/>
            <w:tcBorders>
              <w:top w:val="single" w:sz="4" w:space="0" w:color="8ED973"/>
              <w:left w:val="nil"/>
              <w:bottom w:val="nil"/>
              <w:right w:val="nil"/>
            </w:tcBorders>
            <w:noWrap/>
            <w:hideMark/>
          </w:tcPr>
          <w:p w14:paraId="039A9533"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SŠ</w:t>
            </w:r>
          </w:p>
        </w:tc>
        <w:tc>
          <w:tcPr>
            <w:tcW w:w="823" w:type="dxa"/>
            <w:tcBorders>
              <w:top w:val="single" w:sz="4" w:space="0" w:color="8ED973"/>
              <w:left w:val="nil"/>
              <w:bottom w:val="nil"/>
              <w:right w:val="single" w:sz="4" w:space="0" w:color="4EA72E"/>
            </w:tcBorders>
            <w:noWrap/>
            <w:hideMark/>
          </w:tcPr>
          <w:p w14:paraId="5C5A734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398C1355" w14:textId="77777777" w:rsidTr="009A58B0">
        <w:trPr>
          <w:trHeight w:val="520"/>
        </w:trPr>
        <w:tc>
          <w:tcPr>
            <w:tcW w:w="6827" w:type="dxa"/>
            <w:tcBorders>
              <w:top w:val="single" w:sz="4" w:space="0" w:color="8ED973"/>
              <w:left w:val="single" w:sz="4" w:space="0" w:color="4EA72E"/>
              <w:bottom w:val="nil"/>
              <w:right w:val="nil"/>
            </w:tcBorders>
            <w:hideMark/>
          </w:tcPr>
          <w:p w14:paraId="340ADBF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nově přijatých žáků do 1. ročníku středního vzdělávání bez výučního listu a maturity v denní formě vzdělávání</w:t>
            </w:r>
          </w:p>
        </w:tc>
        <w:tc>
          <w:tcPr>
            <w:tcW w:w="1701" w:type="dxa"/>
            <w:tcBorders>
              <w:top w:val="single" w:sz="4" w:space="0" w:color="8ED973"/>
              <w:left w:val="nil"/>
              <w:bottom w:val="nil"/>
              <w:right w:val="nil"/>
            </w:tcBorders>
            <w:noWrap/>
            <w:hideMark/>
          </w:tcPr>
          <w:p w14:paraId="1FA5913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2DC08F7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Přijímání ke vzdělávání</w:t>
            </w:r>
          </w:p>
        </w:tc>
        <w:tc>
          <w:tcPr>
            <w:tcW w:w="1559" w:type="dxa"/>
            <w:tcBorders>
              <w:top w:val="single" w:sz="4" w:space="0" w:color="8ED973"/>
              <w:left w:val="nil"/>
              <w:bottom w:val="nil"/>
              <w:right w:val="nil"/>
            </w:tcBorders>
            <w:noWrap/>
            <w:hideMark/>
          </w:tcPr>
          <w:p w14:paraId="4F4CDA0A"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SŠ</w:t>
            </w:r>
          </w:p>
        </w:tc>
        <w:tc>
          <w:tcPr>
            <w:tcW w:w="823" w:type="dxa"/>
            <w:tcBorders>
              <w:top w:val="single" w:sz="4" w:space="0" w:color="8ED973"/>
              <w:left w:val="nil"/>
              <w:bottom w:val="nil"/>
              <w:right w:val="single" w:sz="4" w:space="0" w:color="4EA72E"/>
            </w:tcBorders>
            <w:noWrap/>
            <w:hideMark/>
          </w:tcPr>
          <w:p w14:paraId="52559D9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13506CBA" w14:textId="77777777" w:rsidTr="009A58B0">
        <w:trPr>
          <w:trHeight w:val="290"/>
        </w:trPr>
        <w:tc>
          <w:tcPr>
            <w:tcW w:w="6827" w:type="dxa"/>
            <w:tcBorders>
              <w:top w:val="single" w:sz="4" w:space="0" w:color="8ED973"/>
              <w:left w:val="single" w:sz="4" w:space="0" w:color="4EA72E"/>
              <w:bottom w:val="nil"/>
              <w:right w:val="nil"/>
            </w:tcBorders>
            <w:hideMark/>
          </w:tcPr>
          <w:p w14:paraId="4DCE7D6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dětí ve věku 2 let navštěvujících MŠ z dané věkové skupiny</w:t>
            </w:r>
          </w:p>
        </w:tc>
        <w:tc>
          <w:tcPr>
            <w:tcW w:w="1701" w:type="dxa"/>
            <w:tcBorders>
              <w:top w:val="single" w:sz="4" w:space="0" w:color="8ED973"/>
              <w:left w:val="nil"/>
              <w:bottom w:val="nil"/>
              <w:right w:val="nil"/>
            </w:tcBorders>
            <w:noWrap/>
            <w:hideMark/>
          </w:tcPr>
          <w:p w14:paraId="05AE4E0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0AF472C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Účastníci vzdělávání</w:t>
            </w:r>
          </w:p>
        </w:tc>
        <w:tc>
          <w:tcPr>
            <w:tcW w:w="1559" w:type="dxa"/>
            <w:tcBorders>
              <w:top w:val="single" w:sz="4" w:space="0" w:color="8ED973"/>
              <w:left w:val="nil"/>
              <w:bottom w:val="nil"/>
              <w:right w:val="nil"/>
            </w:tcBorders>
            <w:noWrap/>
            <w:hideMark/>
          </w:tcPr>
          <w:p w14:paraId="5EE42F6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MŠ</w:t>
            </w:r>
          </w:p>
        </w:tc>
        <w:tc>
          <w:tcPr>
            <w:tcW w:w="823" w:type="dxa"/>
            <w:tcBorders>
              <w:top w:val="single" w:sz="4" w:space="0" w:color="8ED973"/>
              <w:left w:val="nil"/>
              <w:bottom w:val="nil"/>
              <w:right w:val="single" w:sz="4" w:space="0" w:color="4EA72E"/>
            </w:tcBorders>
            <w:noWrap/>
            <w:hideMark/>
          </w:tcPr>
          <w:p w14:paraId="72FA9C70"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w:t>
            </w:r>
          </w:p>
        </w:tc>
      </w:tr>
      <w:tr w:rsidR="0024586E" w:rsidRPr="00B17FEB" w14:paraId="0112677E" w14:textId="77777777" w:rsidTr="009A58B0">
        <w:trPr>
          <w:trHeight w:val="290"/>
        </w:trPr>
        <w:tc>
          <w:tcPr>
            <w:tcW w:w="6827" w:type="dxa"/>
            <w:tcBorders>
              <w:top w:val="single" w:sz="4" w:space="0" w:color="8ED973"/>
              <w:left w:val="single" w:sz="4" w:space="0" w:color="4EA72E"/>
              <w:bottom w:val="nil"/>
              <w:right w:val="nil"/>
            </w:tcBorders>
            <w:hideMark/>
          </w:tcPr>
          <w:p w14:paraId="0F67CEC0"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dětí ve věku 5 let navštěvujících MŠ z dané věkové skupiny</w:t>
            </w:r>
          </w:p>
        </w:tc>
        <w:tc>
          <w:tcPr>
            <w:tcW w:w="1701" w:type="dxa"/>
            <w:tcBorders>
              <w:top w:val="single" w:sz="4" w:space="0" w:color="8ED973"/>
              <w:left w:val="nil"/>
              <w:bottom w:val="nil"/>
              <w:right w:val="nil"/>
            </w:tcBorders>
            <w:noWrap/>
            <w:hideMark/>
          </w:tcPr>
          <w:p w14:paraId="1C73518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0F0C51B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Účastníci vzdělávání</w:t>
            </w:r>
          </w:p>
        </w:tc>
        <w:tc>
          <w:tcPr>
            <w:tcW w:w="1559" w:type="dxa"/>
            <w:tcBorders>
              <w:top w:val="single" w:sz="4" w:space="0" w:color="8ED973"/>
              <w:left w:val="nil"/>
              <w:bottom w:val="nil"/>
              <w:right w:val="nil"/>
            </w:tcBorders>
            <w:noWrap/>
            <w:hideMark/>
          </w:tcPr>
          <w:p w14:paraId="66A8660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MŠ</w:t>
            </w:r>
          </w:p>
        </w:tc>
        <w:tc>
          <w:tcPr>
            <w:tcW w:w="823" w:type="dxa"/>
            <w:tcBorders>
              <w:top w:val="single" w:sz="4" w:space="0" w:color="8ED973"/>
              <w:left w:val="nil"/>
              <w:bottom w:val="nil"/>
              <w:right w:val="single" w:sz="4" w:space="0" w:color="4EA72E"/>
            </w:tcBorders>
            <w:noWrap/>
            <w:hideMark/>
          </w:tcPr>
          <w:p w14:paraId="655ECE04"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2</w:t>
            </w:r>
          </w:p>
        </w:tc>
      </w:tr>
      <w:tr w:rsidR="0024586E" w:rsidRPr="00B17FEB" w14:paraId="34668DD7" w14:textId="77777777" w:rsidTr="009A58B0">
        <w:trPr>
          <w:trHeight w:val="520"/>
        </w:trPr>
        <w:tc>
          <w:tcPr>
            <w:tcW w:w="6827" w:type="dxa"/>
            <w:tcBorders>
              <w:top w:val="single" w:sz="4" w:space="0" w:color="8ED973"/>
              <w:left w:val="single" w:sz="4" w:space="0" w:color="4EA72E"/>
              <w:bottom w:val="nil"/>
              <w:right w:val="nil"/>
            </w:tcBorders>
            <w:hideMark/>
          </w:tcPr>
          <w:p w14:paraId="3A18FFC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se zdravotním znevýhodněním vzdělávajících se v běžných třídách SŠ v denní formě vzdělávání</w:t>
            </w:r>
          </w:p>
        </w:tc>
        <w:tc>
          <w:tcPr>
            <w:tcW w:w="1701" w:type="dxa"/>
            <w:tcBorders>
              <w:top w:val="single" w:sz="4" w:space="0" w:color="8ED973"/>
              <w:left w:val="nil"/>
              <w:bottom w:val="nil"/>
              <w:right w:val="nil"/>
            </w:tcBorders>
            <w:noWrap/>
            <w:hideMark/>
          </w:tcPr>
          <w:p w14:paraId="6C1A29B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42BE8F3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Účastníci vzdělávání</w:t>
            </w:r>
          </w:p>
        </w:tc>
        <w:tc>
          <w:tcPr>
            <w:tcW w:w="1559" w:type="dxa"/>
            <w:tcBorders>
              <w:top w:val="single" w:sz="4" w:space="0" w:color="8ED973"/>
              <w:left w:val="nil"/>
              <w:bottom w:val="nil"/>
              <w:right w:val="nil"/>
            </w:tcBorders>
            <w:noWrap/>
            <w:hideMark/>
          </w:tcPr>
          <w:p w14:paraId="238A27D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SŠ</w:t>
            </w:r>
          </w:p>
        </w:tc>
        <w:tc>
          <w:tcPr>
            <w:tcW w:w="823" w:type="dxa"/>
            <w:tcBorders>
              <w:top w:val="single" w:sz="4" w:space="0" w:color="8ED973"/>
              <w:left w:val="nil"/>
              <w:bottom w:val="nil"/>
              <w:right w:val="single" w:sz="4" w:space="0" w:color="4EA72E"/>
            </w:tcBorders>
            <w:noWrap/>
            <w:hideMark/>
          </w:tcPr>
          <w:p w14:paraId="0627800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1DC46970" w14:textId="77777777" w:rsidTr="009A58B0">
        <w:trPr>
          <w:trHeight w:val="290"/>
        </w:trPr>
        <w:tc>
          <w:tcPr>
            <w:tcW w:w="6827" w:type="dxa"/>
            <w:tcBorders>
              <w:top w:val="single" w:sz="4" w:space="0" w:color="8ED973"/>
              <w:left w:val="single" w:sz="4" w:space="0" w:color="4EA72E"/>
              <w:bottom w:val="nil"/>
              <w:right w:val="nil"/>
            </w:tcBorders>
            <w:hideMark/>
          </w:tcPr>
          <w:p w14:paraId="5D5C450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ve speciálních třídách ZŠ</w:t>
            </w:r>
          </w:p>
        </w:tc>
        <w:tc>
          <w:tcPr>
            <w:tcW w:w="1701" w:type="dxa"/>
            <w:tcBorders>
              <w:top w:val="single" w:sz="4" w:space="0" w:color="8ED973"/>
              <w:left w:val="nil"/>
              <w:bottom w:val="nil"/>
              <w:right w:val="nil"/>
            </w:tcBorders>
            <w:noWrap/>
            <w:hideMark/>
          </w:tcPr>
          <w:p w14:paraId="37D0E1C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63736184"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Účastníci vzdělávání</w:t>
            </w:r>
          </w:p>
        </w:tc>
        <w:tc>
          <w:tcPr>
            <w:tcW w:w="1559" w:type="dxa"/>
            <w:tcBorders>
              <w:top w:val="single" w:sz="4" w:space="0" w:color="8ED973"/>
              <w:left w:val="nil"/>
              <w:bottom w:val="nil"/>
              <w:right w:val="nil"/>
            </w:tcBorders>
            <w:noWrap/>
            <w:hideMark/>
          </w:tcPr>
          <w:p w14:paraId="5C71024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7672661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3AFCE92C" w14:textId="77777777" w:rsidTr="009A58B0">
        <w:trPr>
          <w:trHeight w:val="290"/>
        </w:trPr>
        <w:tc>
          <w:tcPr>
            <w:tcW w:w="6827" w:type="dxa"/>
            <w:tcBorders>
              <w:top w:val="single" w:sz="4" w:space="0" w:color="8ED973"/>
              <w:left w:val="single" w:sz="4" w:space="0" w:color="4EA72E"/>
              <w:bottom w:val="nil"/>
              <w:right w:val="nil"/>
            </w:tcBorders>
            <w:hideMark/>
          </w:tcPr>
          <w:p w14:paraId="130DADC1"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ve speciálních třídách SŠ</w:t>
            </w:r>
          </w:p>
        </w:tc>
        <w:tc>
          <w:tcPr>
            <w:tcW w:w="1701" w:type="dxa"/>
            <w:tcBorders>
              <w:top w:val="single" w:sz="4" w:space="0" w:color="8ED973"/>
              <w:left w:val="nil"/>
              <w:bottom w:val="nil"/>
              <w:right w:val="nil"/>
            </w:tcBorders>
            <w:noWrap/>
            <w:hideMark/>
          </w:tcPr>
          <w:p w14:paraId="0ECF843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 na vzdělávání</w:t>
            </w:r>
          </w:p>
        </w:tc>
        <w:tc>
          <w:tcPr>
            <w:tcW w:w="3402" w:type="dxa"/>
            <w:tcBorders>
              <w:top w:val="single" w:sz="4" w:space="0" w:color="8ED973"/>
              <w:left w:val="nil"/>
              <w:bottom w:val="nil"/>
              <w:right w:val="nil"/>
            </w:tcBorders>
            <w:noWrap/>
            <w:hideMark/>
          </w:tcPr>
          <w:p w14:paraId="4A0F967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Účastníci vzdělávání</w:t>
            </w:r>
          </w:p>
        </w:tc>
        <w:tc>
          <w:tcPr>
            <w:tcW w:w="1559" w:type="dxa"/>
            <w:tcBorders>
              <w:top w:val="single" w:sz="4" w:space="0" w:color="8ED973"/>
              <w:left w:val="nil"/>
              <w:bottom w:val="nil"/>
              <w:right w:val="nil"/>
            </w:tcBorders>
            <w:noWrap/>
            <w:hideMark/>
          </w:tcPr>
          <w:p w14:paraId="530CD37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SŠ</w:t>
            </w:r>
          </w:p>
        </w:tc>
        <w:tc>
          <w:tcPr>
            <w:tcW w:w="823" w:type="dxa"/>
            <w:tcBorders>
              <w:top w:val="single" w:sz="4" w:space="0" w:color="8ED973"/>
              <w:left w:val="nil"/>
              <w:bottom w:val="nil"/>
              <w:right w:val="single" w:sz="4" w:space="0" w:color="4EA72E"/>
            </w:tcBorders>
            <w:noWrap/>
            <w:hideMark/>
          </w:tcPr>
          <w:p w14:paraId="2E1A1DF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25F1F9B9" w14:textId="77777777" w:rsidTr="009A58B0">
        <w:trPr>
          <w:trHeight w:val="290"/>
        </w:trPr>
        <w:tc>
          <w:tcPr>
            <w:tcW w:w="6827" w:type="dxa"/>
            <w:tcBorders>
              <w:top w:val="single" w:sz="4" w:space="0" w:color="8ED973"/>
              <w:left w:val="single" w:sz="4" w:space="0" w:color="4EA72E"/>
              <w:bottom w:val="nil"/>
              <w:right w:val="nil"/>
            </w:tcBorders>
            <w:hideMark/>
          </w:tcPr>
          <w:p w14:paraId="1389FF4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lastRenderedPageBreak/>
              <w:t>Průměrný výsledek žáků 4. tříd ZŠ v testech čtenářské dovednosti (PIRLS)</w:t>
            </w:r>
          </w:p>
        </w:tc>
        <w:tc>
          <w:tcPr>
            <w:tcW w:w="1701" w:type="dxa"/>
            <w:tcBorders>
              <w:top w:val="single" w:sz="4" w:space="0" w:color="8ED973"/>
              <w:left w:val="nil"/>
              <w:bottom w:val="nil"/>
              <w:right w:val="nil"/>
            </w:tcBorders>
            <w:noWrap/>
            <w:hideMark/>
          </w:tcPr>
          <w:p w14:paraId="3013D6E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Výsledky vzdělávání</w:t>
            </w:r>
          </w:p>
        </w:tc>
        <w:tc>
          <w:tcPr>
            <w:tcW w:w="3402" w:type="dxa"/>
            <w:tcBorders>
              <w:top w:val="single" w:sz="4" w:space="0" w:color="8ED973"/>
              <w:left w:val="nil"/>
              <w:bottom w:val="nil"/>
              <w:right w:val="nil"/>
            </w:tcBorders>
            <w:noWrap/>
            <w:hideMark/>
          </w:tcPr>
          <w:p w14:paraId="04295DE1"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Mezinárodní šetření</w:t>
            </w:r>
          </w:p>
        </w:tc>
        <w:tc>
          <w:tcPr>
            <w:tcW w:w="1559" w:type="dxa"/>
            <w:tcBorders>
              <w:top w:val="single" w:sz="4" w:space="0" w:color="8ED973"/>
              <w:left w:val="nil"/>
              <w:bottom w:val="nil"/>
              <w:right w:val="nil"/>
            </w:tcBorders>
            <w:noWrap/>
            <w:hideMark/>
          </w:tcPr>
          <w:p w14:paraId="4203260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0DD7AC1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14</w:t>
            </w:r>
          </w:p>
        </w:tc>
      </w:tr>
      <w:tr w:rsidR="0024586E" w:rsidRPr="00B17FEB" w14:paraId="79A65B39" w14:textId="77777777" w:rsidTr="009A58B0">
        <w:trPr>
          <w:trHeight w:val="290"/>
        </w:trPr>
        <w:tc>
          <w:tcPr>
            <w:tcW w:w="6827" w:type="dxa"/>
            <w:tcBorders>
              <w:top w:val="single" w:sz="4" w:space="0" w:color="8ED973"/>
              <w:left w:val="single" w:sz="4" w:space="0" w:color="4EA72E"/>
              <w:bottom w:val="nil"/>
              <w:right w:val="nil"/>
            </w:tcBorders>
            <w:hideMark/>
          </w:tcPr>
          <w:p w14:paraId="4F06025A"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opakujících ročník na 1. stupni ZŠ</w:t>
            </w:r>
          </w:p>
        </w:tc>
        <w:tc>
          <w:tcPr>
            <w:tcW w:w="1701" w:type="dxa"/>
            <w:tcBorders>
              <w:top w:val="single" w:sz="4" w:space="0" w:color="8ED973"/>
              <w:left w:val="nil"/>
              <w:bottom w:val="nil"/>
              <w:right w:val="nil"/>
            </w:tcBorders>
            <w:noWrap/>
            <w:hideMark/>
          </w:tcPr>
          <w:p w14:paraId="34950FD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Výsledky vzdělávání</w:t>
            </w:r>
          </w:p>
        </w:tc>
        <w:tc>
          <w:tcPr>
            <w:tcW w:w="3402" w:type="dxa"/>
            <w:tcBorders>
              <w:top w:val="single" w:sz="4" w:space="0" w:color="8ED973"/>
              <w:left w:val="nil"/>
              <w:bottom w:val="nil"/>
              <w:right w:val="nil"/>
            </w:tcBorders>
            <w:noWrap/>
            <w:hideMark/>
          </w:tcPr>
          <w:p w14:paraId="558E4A9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Opakování ročníku</w:t>
            </w:r>
          </w:p>
        </w:tc>
        <w:tc>
          <w:tcPr>
            <w:tcW w:w="1559" w:type="dxa"/>
            <w:tcBorders>
              <w:top w:val="single" w:sz="4" w:space="0" w:color="8ED973"/>
              <w:left w:val="nil"/>
              <w:bottom w:val="nil"/>
              <w:right w:val="nil"/>
            </w:tcBorders>
            <w:noWrap/>
            <w:hideMark/>
          </w:tcPr>
          <w:p w14:paraId="4ED0F46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413DC474"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55F0248B" w14:textId="77777777" w:rsidTr="009A58B0">
        <w:trPr>
          <w:trHeight w:val="520"/>
        </w:trPr>
        <w:tc>
          <w:tcPr>
            <w:tcW w:w="6827" w:type="dxa"/>
            <w:tcBorders>
              <w:top w:val="single" w:sz="4" w:space="0" w:color="8ED973"/>
              <w:left w:val="single" w:sz="4" w:space="0" w:color="4EA72E"/>
              <w:bottom w:val="nil"/>
              <w:right w:val="nil"/>
            </w:tcBorders>
            <w:hideMark/>
          </w:tcPr>
          <w:p w14:paraId="7E0685A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odcházející ze základní školy bez dosaženého stupně vzdělání v oboru Základní škola speciální</w:t>
            </w:r>
          </w:p>
        </w:tc>
        <w:tc>
          <w:tcPr>
            <w:tcW w:w="1701" w:type="dxa"/>
            <w:tcBorders>
              <w:top w:val="single" w:sz="4" w:space="0" w:color="8ED973"/>
              <w:left w:val="nil"/>
              <w:bottom w:val="nil"/>
              <w:right w:val="nil"/>
            </w:tcBorders>
            <w:noWrap/>
            <w:hideMark/>
          </w:tcPr>
          <w:p w14:paraId="5B43344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Výsledky vzdělávání</w:t>
            </w:r>
          </w:p>
        </w:tc>
        <w:tc>
          <w:tcPr>
            <w:tcW w:w="3402" w:type="dxa"/>
            <w:tcBorders>
              <w:top w:val="single" w:sz="4" w:space="0" w:color="8ED973"/>
              <w:left w:val="nil"/>
              <w:bottom w:val="nil"/>
              <w:right w:val="nil"/>
            </w:tcBorders>
            <w:noWrap/>
            <w:hideMark/>
          </w:tcPr>
          <w:p w14:paraId="3C3A9B4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Předčasné odchody</w:t>
            </w:r>
          </w:p>
        </w:tc>
        <w:tc>
          <w:tcPr>
            <w:tcW w:w="1559" w:type="dxa"/>
            <w:tcBorders>
              <w:top w:val="single" w:sz="4" w:space="0" w:color="8ED973"/>
              <w:left w:val="nil"/>
              <w:bottom w:val="nil"/>
              <w:right w:val="nil"/>
            </w:tcBorders>
            <w:noWrap/>
            <w:hideMark/>
          </w:tcPr>
          <w:p w14:paraId="2F63F82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29344963"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7D9EAED8" w14:textId="77777777" w:rsidTr="009A58B0">
        <w:trPr>
          <w:trHeight w:val="290"/>
        </w:trPr>
        <w:tc>
          <w:tcPr>
            <w:tcW w:w="6827" w:type="dxa"/>
            <w:tcBorders>
              <w:top w:val="single" w:sz="4" w:space="0" w:color="8ED973"/>
              <w:left w:val="single" w:sz="4" w:space="0" w:color="4EA72E"/>
              <w:bottom w:val="nil"/>
              <w:right w:val="nil"/>
            </w:tcBorders>
            <w:hideMark/>
          </w:tcPr>
          <w:p w14:paraId="78B6D091"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hodin, které byly odučeny učiteli aprobovanými pro daný předmět</w:t>
            </w:r>
          </w:p>
        </w:tc>
        <w:tc>
          <w:tcPr>
            <w:tcW w:w="1701" w:type="dxa"/>
            <w:tcBorders>
              <w:top w:val="single" w:sz="4" w:space="0" w:color="8ED973"/>
              <w:left w:val="nil"/>
              <w:bottom w:val="nil"/>
              <w:right w:val="nil"/>
            </w:tcBorders>
            <w:noWrap/>
            <w:hideMark/>
          </w:tcPr>
          <w:p w14:paraId="186C565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Výuka</w:t>
            </w:r>
          </w:p>
        </w:tc>
        <w:tc>
          <w:tcPr>
            <w:tcW w:w="3402" w:type="dxa"/>
            <w:tcBorders>
              <w:top w:val="single" w:sz="4" w:space="0" w:color="8ED973"/>
              <w:left w:val="nil"/>
              <w:bottom w:val="nil"/>
              <w:right w:val="nil"/>
            </w:tcBorders>
            <w:noWrap/>
            <w:hideMark/>
          </w:tcPr>
          <w:p w14:paraId="0F3937A0"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Aprobovanost</w:t>
            </w:r>
          </w:p>
        </w:tc>
        <w:tc>
          <w:tcPr>
            <w:tcW w:w="1559" w:type="dxa"/>
            <w:tcBorders>
              <w:top w:val="single" w:sz="4" w:space="0" w:color="8ED973"/>
              <w:left w:val="nil"/>
              <w:bottom w:val="nil"/>
              <w:right w:val="nil"/>
            </w:tcBorders>
            <w:noWrap/>
            <w:hideMark/>
          </w:tcPr>
          <w:p w14:paraId="2117BDC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 SŠ</w:t>
            </w:r>
          </w:p>
        </w:tc>
        <w:tc>
          <w:tcPr>
            <w:tcW w:w="823" w:type="dxa"/>
            <w:tcBorders>
              <w:top w:val="single" w:sz="4" w:space="0" w:color="8ED973"/>
              <w:left w:val="nil"/>
              <w:bottom w:val="nil"/>
              <w:right w:val="single" w:sz="4" w:space="0" w:color="4EA72E"/>
            </w:tcBorders>
            <w:noWrap/>
            <w:hideMark/>
          </w:tcPr>
          <w:p w14:paraId="26D9690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2</w:t>
            </w:r>
          </w:p>
        </w:tc>
      </w:tr>
      <w:tr w:rsidR="0024586E" w:rsidRPr="00B17FEB" w14:paraId="6D0A9D6E" w14:textId="77777777" w:rsidTr="009A58B0">
        <w:trPr>
          <w:trHeight w:val="290"/>
        </w:trPr>
        <w:tc>
          <w:tcPr>
            <w:tcW w:w="6827" w:type="dxa"/>
            <w:tcBorders>
              <w:top w:val="single" w:sz="4" w:space="0" w:color="8ED973"/>
              <w:left w:val="single" w:sz="4" w:space="0" w:color="4EA72E"/>
              <w:bottom w:val="nil"/>
              <w:right w:val="nil"/>
            </w:tcBorders>
            <w:hideMark/>
          </w:tcPr>
          <w:p w14:paraId="4BA67FF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Index šikany (TIMSS) - žáci 8. ročníků ZŠ</w:t>
            </w:r>
          </w:p>
        </w:tc>
        <w:tc>
          <w:tcPr>
            <w:tcW w:w="1701" w:type="dxa"/>
            <w:tcBorders>
              <w:top w:val="single" w:sz="4" w:space="0" w:color="8ED973"/>
              <w:left w:val="nil"/>
              <w:bottom w:val="nil"/>
              <w:right w:val="nil"/>
            </w:tcBorders>
            <w:noWrap/>
            <w:hideMark/>
          </w:tcPr>
          <w:p w14:paraId="4D88FFE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Well-being</w:t>
            </w:r>
          </w:p>
        </w:tc>
        <w:tc>
          <w:tcPr>
            <w:tcW w:w="3402" w:type="dxa"/>
            <w:tcBorders>
              <w:top w:val="single" w:sz="4" w:space="0" w:color="8ED973"/>
              <w:left w:val="nil"/>
              <w:bottom w:val="nil"/>
              <w:right w:val="nil"/>
            </w:tcBorders>
            <w:noWrap/>
            <w:hideMark/>
          </w:tcPr>
          <w:p w14:paraId="1BCEF9F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Index šikany</w:t>
            </w:r>
          </w:p>
        </w:tc>
        <w:tc>
          <w:tcPr>
            <w:tcW w:w="1559" w:type="dxa"/>
            <w:tcBorders>
              <w:top w:val="single" w:sz="4" w:space="0" w:color="8ED973"/>
              <w:left w:val="nil"/>
              <w:bottom w:val="nil"/>
              <w:right w:val="nil"/>
            </w:tcBorders>
            <w:noWrap/>
            <w:hideMark/>
          </w:tcPr>
          <w:p w14:paraId="6E5874E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5289017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5F78B064" w14:textId="77777777" w:rsidTr="009A58B0">
        <w:trPr>
          <w:trHeight w:val="290"/>
        </w:trPr>
        <w:tc>
          <w:tcPr>
            <w:tcW w:w="6827" w:type="dxa"/>
            <w:tcBorders>
              <w:top w:val="single" w:sz="4" w:space="0" w:color="8ED973"/>
              <w:left w:val="single" w:sz="4" w:space="0" w:color="4EA72E"/>
              <w:bottom w:val="nil"/>
              <w:right w:val="nil"/>
            </w:tcBorders>
            <w:hideMark/>
          </w:tcPr>
          <w:p w14:paraId="4B46655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Index šikany (PIRLS) - žáci 4. ročníků ZŠ</w:t>
            </w:r>
          </w:p>
        </w:tc>
        <w:tc>
          <w:tcPr>
            <w:tcW w:w="1701" w:type="dxa"/>
            <w:tcBorders>
              <w:top w:val="single" w:sz="4" w:space="0" w:color="8ED973"/>
              <w:left w:val="nil"/>
              <w:bottom w:val="nil"/>
              <w:right w:val="nil"/>
            </w:tcBorders>
            <w:noWrap/>
            <w:hideMark/>
          </w:tcPr>
          <w:p w14:paraId="66A9C50A"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Well-being</w:t>
            </w:r>
          </w:p>
        </w:tc>
        <w:tc>
          <w:tcPr>
            <w:tcW w:w="3402" w:type="dxa"/>
            <w:tcBorders>
              <w:top w:val="single" w:sz="4" w:space="0" w:color="8ED973"/>
              <w:left w:val="nil"/>
              <w:bottom w:val="nil"/>
              <w:right w:val="nil"/>
            </w:tcBorders>
            <w:noWrap/>
            <w:hideMark/>
          </w:tcPr>
          <w:p w14:paraId="19F91110"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Index šikany</w:t>
            </w:r>
          </w:p>
        </w:tc>
        <w:tc>
          <w:tcPr>
            <w:tcW w:w="1559" w:type="dxa"/>
            <w:tcBorders>
              <w:top w:val="single" w:sz="4" w:space="0" w:color="8ED973"/>
              <w:left w:val="nil"/>
              <w:bottom w:val="nil"/>
              <w:right w:val="nil"/>
            </w:tcBorders>
            <w:noWrap/>
            <w:hideMark/>
          </w:tcPr>
          <w:p w14:paraId="03105308"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244E0092"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14</w:t>
            </w:r>
          </w:p>
        </w:tc>
      </w:tr>
      <w:tr w:rsidR="0024586E" w:rsidRPr="00B17FEB" w14:paraId="6AE8A8C3" w14:textId="77777777" w:rsidTr="009A58B0">
        <w:trPr>
          <w:trHeight w:val="290"/>
        </w:trPr>
        <w:tc>
          <w:tcPr>
            <w:tcW w:w="6827" w:type="dxa"/>
            <w:tcBorders>
              <w:top w:val="single" w:sz="4" w:space="0" w:color="8ED973"/>
              <w:left w:val="single" w:sz="4" w:space="0" w:color="4EA72E"/>
              <w:bottom w:val="nil"/>
              <w:right w:val="nil"/>
            </w:tcBorders>
            <w:hideMark/>
          </w:tcPr>
          <w:p w14:paraId="3413C48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Pocit sounáležitosti TIMSS – žáci 8. ročníků ZŠ</w:t>
            </w:r>
          </w:p>
        </w:tc>
        <w:tc>
          <w:tcPr>
            <w:tcW w:w="1701" w:type="dxa"/>
            <w:tcBorders>
              <w:top w:val="single" w:sz="4" w:space="0" w:color="8ED973"/>
              <w:left w:val="nil"/>
              <w:bottom w:val="nil"/>
              <w:right w:val="nil"/>
            </w:tcBorders>
            <w:noWrap/>
            <w:hideMark/>
          </w:tcPr>
          <w:p w14:paraId="7566F423"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Well-being</w:t>
            </w:r>
          </w:p>
        </w:tc>
        <w:tc>
          <w:tcPr>
            <w:tcW w:w="3402" w:type="dxa"/>
            <w:tcBorders>
              <w:top w:val="single" w:sz="4" w:space="0" w:color="8ED973"/>
              <w:left w:val="nil"/>
              <w:bottom w:val="nil"/>
              <w:right w:val="nil"/>
            </w:tcBorders>
            <w:noWrap/>
            <w:hideMark/>
          </w:tcPr>
          <w:p w14:paraId="09B0CA0B"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Sounáležitost se školou</w:t>
            </w:r>
          </w:p>
        </w:tc>
        <w:tc>
          <w:tcPr>
            <w:tcW w:w="1559" w:type="dxa"/>
            <w:tcBorders>
              <w:top w:val="single" w:sz="4" w:space="0" w:color="8ED973"/>
              <w:left w:val="nil"/>
              <w:bottom w:val="nil"/>
              <w:right w:val="nil"/>
            </w:tcBorders>
            <w:noWrap/>
            <w:hideMark/>
          </w:tcPr>
          <w:p w14:paraId="5E43CE0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6A44C28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13</w:t>
            </w:r>
          </w:p>
        </w:tc>
      </w:tr>
      <w:tr w:rsidR="0024586E" w:rsidRPr="00B17FEB" w14:paraId="4E2DB1A9" w14:textId="77777777" w:rsidTr="009A58B0">
        <w:trPr>
          <w:trHeight w:val="290"/>
        </w:trPr>
        <w:tc>
          <w:tcPr>
            <w:tcW w:w="6827" w:type="dxa"/>
            <w:tcBorders>
              <w:top w:val="single" w:sz="4" w:space="0" w:color="8ED973"/>
              <w:left w:val="single" w:sz="4" w:space="0" w:color="4EA72E"/>
              <w:bottom w:val="nil"/>
              <w:right w:val="nil"/>
            </w:tcBorders>
            <w:hideMark/>
          </w:tcPr>
          <w:p w14:paraId="7A9F1F3F"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4. tříd ZŠ s nedostatečnými výsledky v testech čtenářských dovedností (PIRLS)</w:t>
            </w:r>
          </w:p>
        </w:tc>
        <w:tc>
          <w:tcPr>
            <w:tcW w:w="1701" w:type="dxa"/>
            <w:tcBorders>
              <w:top w:val="single" w:sz="4" w:space="0" w:color="8ED973"/>
              <w:left w:val="nil"/>
              <w:bottom w:val="nil"/>
              <w:right w:val="nil"/>
            </w:tcBorders>
            <w:noWrap/>
            <w:hideMark/>
          </w:tcPr>
          <w:p w14:paraId="457EAEF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Nerovnosti</w:t>
            </w:r>
          </w:p>
        </w:tc>
        <w:tc>
          <w:tcPr>
            <w:tcW w:w="3402" w:type="dxa"/>
            <w:tcBorders>
              <w:top w:val="single" w:sz="4" w:space="0" w:color="8ED973"/>
              <w:left w:val="nil"/>
              <w:bottom w:val="nil"/>
              <w:right w:val="nil"/>
            </w:tcBorders>
            <w:noWrap/>
            <w:hideMark/>
          </w:tcPr>
          <w:p w14:paraId="280C30E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Žáci v dovednostních úrovních</w:t>
            </w:r>
          </w:p>
        </w:tc>
        <w:tc>
          <w:tcPr>
            <w:tcW w:w="1559" w:type="dxa"/>
            <w:tcBorders>
              <w:top w:val="single" w:sz="4" w:space="0" w:color="8ED973"/>
              <w:left w:val="nil"/>
              <w:bottom w:val="nil"/>
              <w:right w:val="nil"/>
            </w:tcBorders>
            <w:noWrap/>
            <w:hideMark/>
          </w:tcPr>
          <w:p w14:paraId="76BCAD3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3F4ED427"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w:t>
            </w:r>
          </w:p>
        </w:tc>
      </w:tr>
      <w:tr w:rsidR="0024586E" w:rsidRPr="00B17FEB" w14:paraId="3684C55B" w14:textId="77777777" w:rsidTr="009A58B0">
        <w:trPr>
          <w:trHeight w:val="290"/>
        </w:trPr>
        <w:tc>
          <w:tcPr>
            <w:tcW w:w="6827" w:type="dxa"/>
            <w:tcBorders>
              <w:top w:val="single" w:sz="4" w:space="0" w:color="8ED973"/>
              <w:left w:val="single" w:sz="4" w:space="0" w:color="4EA72E"/>
              <w:bottom w:val="nil"/>
              <w:right w:val="nil"/>
            </w:tcBorders>
            <w:hideMark/>
          </w:tcPr>
          <w:p w14:paraId="4A0583E6"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4. tříd ZŠ s excelentními výsledky v testech přírodovědných dovedností (TIMSS)</w:t>
            </w:r>
          </w:p>
        </w:tc>
        <w:tc>
          <w:tcPr>
            <w:tcW w:w="1701" w:type="dxa"/>
            <w:tcBorders>
              <w:top w:val="single" w:sz="4" w:space="0" w:color="8ED973"/>
              <w:left w:val="nil"/>
              <w:bottom w:val="nil"/>
              <w:right w:val="nil"/>
            </w:tcBorders>
            <w:noWrap/>
            <w:hideMark/>
          </w:tcPr>
          <w:p w14:paraId="50A1F0C9"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Nerovnosti</w:t>
            </w:r>
          </w:p>
        </w:tc>
        <w:tc>
          <w:tcPr>
            <w:tcW w:w="3402" w:type="dxa"/>
            <w:tcBorders>
              <w:top w:val="single" w:sz="4" w:space="0" w:color="8ED973"/>
              <w:left w:val="nil"/>
              <w:bottom w:val="nil"/>
              <w:right w:val="nil"/>
            </w:tcBorders>
            <w:noWrap/>
            <w:hideMark/>
          </w:tcPr>
          <w:p w14:paraId="6F9F2DE0"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Žáci v dovednostních úrovních</w:t>
            </w:r>
          </w:p>
        </w:tc>
        <w:tc>
          <w:tcPr>
            <w:tcW w:w="1559" w:type="dxa"/>
            <w:tcBorders>
              <w:top w:val="single" w:sz="4" w:space="0" w:color="8ED973"/>
              <w:left w:val="nil"/>
              <w:bottom w:val="nil"/>
              <w:right w:val="nil"/>
            </w:tcBorders>
            <w:noWrap/>
            <w:hideMark/>
          </w:tcPr>
          <w:p w14:paraId="48AFE8EE"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nil"/>
              <w:right w:val="single" w:sz="4" w:space="0" w:color="4EA72E"/>
            </w:tcBorders>
            <w:noWrap/>
            <w:hideMark/>
          </w:tcPr>
          <w:p w14:paraId="1F87C45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2</w:t>
            </w:r>
          </w:p>
        </w:tc>
      </w:tr>
      <w:tr w:rsidR="0024586E" w:rsidRPr="00B17FEB" w14:paraId="3F2218E0" w14:textId="77777777" w:rsidTr="009A58B0">
        <w:trPr>
          <w:trHeight w:val="290"/>
        </w:trPr>
        <w:tc>
          <w:tcPr>
            <w:tcW w:w="6827" w:type="dxa"/>
            <w:tcBorders>
              <w:top w:val="single" w:sz="4" w:space="0" w:color="8ED973"/>
              <w:left w:val="single" w:sz="4" w:space="0" w:color="4EA72E"/>
              <w:bottom w:val="single" w:sz="4" w:space="0" w:color="4EA72E"/>
              <w:right w:val="nil"/>
            </w:tcBorders>
            <w:hideMark/>
          </w:tcPr>
          <w:p w14:paraId="1E93F5EC"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Podíl žáků 4. tříd ZŠ s excelentními výsledky v testech čtenářských dovedností (PIRLS)</w:t>
            </w:r>
          </w:p>
        </w:tc>
        <w:tc>
          <w:tcPr>
            <w:tcW w:w="1701" w:type="dxa"/>
            <w:tcBorders>
              <w:top w:val="single" w:sz="4" w:space="0" w:color="8ED973"/>
              <w:left w:val="nil"/>
              <w:bottom w:val="single" w:sz="4" w:space="0" w:color="4EA72E"/>
              <w:right w:val="nil"/>
            </w:tcBorders>
            <w:noWrap/>
            <w:hideMark/>
          </w:tcPr>
          <w:p w14:paraId="2D4E2B9D"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Nerovnosti</w:t>
            </w:r>
          </w:p>
        </w:tc>
        <w:tc>
          <w:tcPr>
            <w:tcW w:w="3402" w:type="dxa"/>
            <w:tcBorders>
              <w:top w:val="single" w:sz="4" w:space="0" w:color="8ED973"/>
              <w:left w:val="nil"/>
              <w:bottom w:val="single" w:sz="4" w:space="0" w:color="4EA72E"/>
              <w:right w:val="nil"/>
            </w:tcBorders>
            <w:noWrap/>
            <w:hideMark/>
          </w:tcPr>
          <w:p w14:paraId="2AEBE773"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Žáci v dovednostních úrovních</w:t>
            </w:r>
          </w:p>
        </w:tc>
        <w:tc>
          <w:tcPr>
            <w:tcW w:w="1559" w:type="dxa"/>
            <w:tcBorders>
              <w:top w:val="single" w:sz="4" w:space="0" w:color="8ED973"/>
              <w:left w:val="nil"/>
              <w:bottom w:val="single" w:sz="4" w:space="0" w:color="4EA72E"/>
              <w:right w:val="nil"/>
            </w:tcBorders>
            <w:noWrap/>
            <w:hideMark/>
          </w:tcPr>
          <w:p w14:paraId="371AF03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ZŠ</w:t>
            </w:r>
          </w:p>
        </w:tc>
        <w:tc>
          <w:tcPr>
            <w:tcW w:w="823" w:type="dxa"/>
            <w:tcBorders>
              <w:top w:val="single" w:sz="4" w:space="0" w:color="8ED973"/>
              <w:left w:val="nil"/>
              <w:bottom w:val="single" w:sz="4" w:space="0" w:color="4EA72E"/>
              <w:right w:val="single" w:sz="4" w:space="0" w:color="4EA72E"/>
            </w:tcBorders>
            <w:noWrap/>
            <w:hideMark/>
          </w:tcPr>
          <w:p w14:paraId="1F7DFB65" w14:textId="77777777" w:rsidR="0024586E" w:rsidRPr="00B17FEB" w:rsidRDefault="0024586E" w:rsidP="009574F4">
            <w:pPr>
              <w:spacing w:after="0"/>
              <w:rPr>
                <w:rFonts w:eastAsia="Times New Roman" w:cs="Calibri"/>
                <w:color w:val="000000"/>
                <w:sz w:val="20"/>
                <w:szCs w:val="20"/>
                <w:lang w:eastAsia="cs-CZ"/>
              </w:rPr>
            </w:pPr>
            <w:r w:rsidRPr="00B17FEB">
              <w:rPr>
                <w:rFonts w:eastAsia="Times New Roman" w:cs="Calibri"/>
                <w:color w:val="000000"/>
                <w:sz w:val="20"/>
                <w:szCs w:val="20"/>
                <w:lang w:eastAsia="cs-CZ"/>
              </w:rPr>
              <w:t>14</w:t>
            </w:r>
          </w:p>
        </w:tc>
      </w:tr>
    </w:tbl>
    <w:p w14:paraId="1A211248" w14:textId="77777777" w:rsidR="0024586E" w:rsidRDefault="0024586E" w:rsidP="0024586E">
      <w:pPr>
        <w:pStyle w:val="Odstavecseseznamem"/>
        <w:jc w:val="both"/>
      </w:pPr>
    </w:p>
    <w:p w14:paraId="09FF64C5" w14:textId="77777777" w:rsidR="00D96059" w:rsidRDefault="00D96059">
      <w:pPr>
        <w:spacing w:line="276" w:lineRule="auto"/>
        <w:rPr>
          <w:rFonts w:eastAsiaTheme="majorEastAsia" w:cstheme="majorBidi"/>
          <w:b/>
          <w:color w:val="4C4C4C"/>
          <w:sz w:val="24"/>
          <w:szCs w:val="23"/>
        </w:rPr>
      </w:pPr>
      <w:r>
        <w:br w:type="page"/>
      </w:r>
    </w:p>
    <w:p w14:paraId="01C723E2" w14:textId="66529A89" w:rsidR="0024586E" w:rsidRDefault="0024586E" w:rsidP="0024586E">
      <w:pPr>
        <w:pStyle w:val="Nadpis4"/>
        <w:rPr>
          <w:b w:val="0"/>
        </w:rPr>
      </w:pPr>
      <w:r>
        <w:lastRenderedPageBreak/>
        <w:t>Plzeňský kraj</w:t>
      </w:r>
    </w:p>
    <w:p w14:paraId="4FB852C4" w14:textId="77777777" w:rsidR="0024586E" w:rsidRDefault="0024586E" w:rsidP="0024586E">
      <w:pPr>
        <w:jc w:val="both"/>
      </w:pPr>
      <w:r>
        <w:t>Plzeňský kraj dosahuje ve vybraných ukazatelích Monitorovacího rámce krajních hodnot málo často. Kraj má nejnižší počet úvazků školního psychologa na 10 tis. dětí a žáků a relativně vysoké platy školních speciálních pedagogů k průměrné mzdě. Nízký je podíl dětí a žáků, které se vzdělávají v neveřejných školách. Je zde nízký podíl středoškoláků v gymnaziálních oborech vzdělávání. Vysoký podíl čerstvých absolventů s výučním listem pokračuje dále do nástavbového studia v denní formě. Podíl dětí plnících povinný předškolní ročník je nízký. Nízký je také p</w:t>
      </w:r>
      <w:r w:rsidRPr="00C60273">
        <w:t>odíl žáků s přiznaným podpůrným opatřením s kódem NFN v</w:t>
      </w:r>
      <w:r>
        <w:t> </w:t>
      </w:r>
      <w:r w:rsidRPr="00C60273">
        <w:t>ZŠ</w:t>
      </w:r>
      <w:r>
        <w:t>. Ve středních školách je nízký podíl žáků opakujících ročník. Hodnota indexu pocitu sounáležitosti se školou u žáků 8. ročníku ZŠ a u patnáctiletých je vysoká. V posledním cyklu šetření TIMSS měl kraj nízký p</w:t>
      </w:r>
      <w:r w:rsidRPr="00FC73ED">
        <w:t xml:space="preserve">odíl žáků 8. tříd ZŠ s excelentními výsledky v testech matematických dovedností </w:t>
      </w:r>
      <w:r>
        <w:t>a v šetření PISA nízký p</w:t>
      </w:r>
      <w:r w:rsidRPr="00442D99">
        <w:t>odíl žáků ZŠ s nedostatečnými výsledky v testech čtenářské gramotnosti</w:t>
      </w:r>
      <w:r>
        <w:t>.</w:t>
      </w:r>
    </w:p>
    <w:tbl>
      <w:tblPr>
        <w:tblW w:w="5000" w:type="pct"/>
        <w:tblCellMar>
          <w:left w:w="70" w:type="dxa"/>
          <w:right w:w="70" w:type="dxa"/>
        </w:tblCellMar>
        <w:tblLook w:val="04A0" w:firstRow="1" w:lastRow="0" w:firstColumn="1" w:lastColumn="0" w:noHBand="0" w:noVBand="1"/>
      </w:tblPr>
      <w:tblGrid>
        <w:gridCol w:w="6722"/>
        <w:gridCol w:w="1854"/>
        <w:gridCol w:w="3470"/>
        <w:gridCol w:w="1459"/>
        <w:gridCol w:w="771"/>
      </w:tblGrid>
      <w:tr w:rsidR="0024586E" w:rsidRPr="00301648" w14:paraId="2A96B9FD" w14:textId="77777777" w:rsidTr="009A58B0">
        <w:trPr>
          <w:trHeight w:val="290"/>
          <w:tblHeader/>
        </w:trPr>
        <w:tc>
          <w:tcPr>
            <w:tcW w:w="2354" w:type="pct"/>
            <w:tcBorders>
              <w:top w:val="single" w:sz="4" w:space="0" w:color="8ED973"/>
              <w:left w:val="single" w:sz="4" w:space="0" w:color="4EA72E"/>
              <w:bottom w:val="nil"/>
              <w:right w:val="nil"/>
            </w:tcBorders>
            <w:shd w:val="clear" w:color="4EA72E" w:fill="4EA72E"/>
            <w:vAlign w:val="bottom"/>
            <w:hideMark/>
          </w:tcPr>
          <w:p w14:paraId="6D4C15D9" w14:textId="77777777" w:rsidR="0024586E" w:rsidRPr="00301648" w:rsidRDefault="0024586E" w:rsidP="009574F4">
            <w:pPr>
              <w:spacing w:after="0"/>
              <w:rPr>
                <w:rFonts w:eastAsia="Times New Roman" w:cs="Calibri"/>
                <w:b/>
                <w:bCs/>
                <w:color w:val="FFFFFF"/>
                <w:sz w:val="20"/>
                <w:szCs w:val="20"/>
                <w:lang w:eastAsia="cs-CZ"/>
              </w:rPr>
            </w:pPr>
            <w:r w:rsidRPr="00301648">
              <w:rPr>
                <w:rFonts w:eastAsia="Times New Roman" w:cs="Calibri"/>
                <w:b/>
                <w:bCs/>
                <w:color w:val="FFFFFF"/>
                <w:sz w:val="20"/>
                <w:szCs w:val="20"/>
                <w:lang w:eastAsia="cs-CZ"/>
              </w:rPr>
              <w:t>Název údaje</w:t>
            </w:r>
          </w:p>
        </w:tc>
        <w:tc>
          <w:tcPr>
            <w:tcW w:w="649" w:type="pct"/>
            <w:tcBorders>
              <w:top w:val="single" w:sz="4" w:space="0" w:color="8ED973"/>
              <w:left w:val="nil"/>
              <w:bottom w:val="nil"/>
              <w:right w:val="nil"/>
            </w:tcBorders>
            <w:shd w:val="clear" w:color="4EA72E" w:fill="4EA72E"/>
            <w:noWrap/>
            <w:vAlign w:val="bottom"/>
            <w:hideMark/>
          </w:tcPr>
          <w:p w14:paraId="1AEF2536" w14:textId="77777777" w:rsidR="0024586E" w:rsidRPr="00301648" w:rsidRDefault="0024586E" w:rsidP="009574F4">
            <w:pPr>
              <w:spacing w:after="0"/>
              <w:rPr>
                <w:rFonts w:eastAsia="Times New Roman" w:cs="Calibri"/>
                <w:b/>
                <w:bCs/>
                <w:color w:val="FFFFFF"/>
                <w:sz w:val="20"/>
                <w:szCs w:val="20"/>
                <w:lang w:eastAsia="cs-CZ"/>
              </w:rPr>
            </w:pPr>
            <w:r w:rsidRPr="00301648">
              <w:rPr>
                <w:rFonts w:eastAsia="Times New Roman" w:cs="Calibri"/>
                <w:b/>
                <w:bCs/>
                <w:color w:val="FFFFFF"/>
                <w:sz w:val="20"/>
                <w:szCs w:val="20"/>
                <w:lang w:eastAsia="cs-CZ"/>
              </w:rPr>
              <w:t>Oblast</w:t>
            </w:r>
          </w:p>
        </w:tc>
        <w:tc>
          <w:tcPr>
            <w:tcW w:w="1215" w:type="pct"/>
            <w:tcBorders>
              <w:top w:val="single" w:sz="4" w:space="0" w:color="8ED973"/>
              <w:left w:val="nil"/>
              <w:bottom w:val="nil"/>
              <w:right w:val="nil"/>
            </w:tcBorders>
            <w:shd w:val="clear" w:color="4EA72E" w:fill="4EA72E"/>
            <w:noWrap/>
            <w:vAlign w:val="bottom"/>
            <w:hideMark/>
          </w:tcPr>
          <w:p w14:paraId="63735A5D" w14:textId="77777777" w:rsidR="0024586E" w:rsidRPr="00301648" w:rsidRDefault="0024586E" w:rsidP="009574F4">
            <w:pPr>
              <w:spacing w:after="0"/>
              <w:rPr>
                <w:rFonts w:eastAsia="Times New Roman" w:cs="Calibri"/>
                <w:b/>
                <w:bCs/>
                <w:color w:val="FFFFFF"/>
                <w:sz w:val="20"/>
                <w:szCs w:val="20"/>
                <w:lang w:eastAsia="cs-CZ"/>
              </w:rPr>
            </w:pPr>
            <w:r w:rsidRPr="00301648">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5B5E8224" w14:textId="77777777" w:rsidR="0024586E" w:rsidRPr="00301648" w:rsidRDefault="0024586E" w:rsidP="009574F4">
            <w:pPr>
              <w:spacing w:after="0"/>
              <w:rPr>
                <w:rFonts w:eastAsia="Times New Roman" w:cs="Calibri"/>
                <w:b/>
                <w:bCs/>
                <w:color w:val="FFFFFF"/>
                <w:sz w:val="20"/>
                <w:szCs w:val="20"/>
                <w:lang w:eastAsia="cs-CZ"/>
              </w:rPr>
            </w:pPr>
            <w:r w:rsidRPr="00301648">
              <w:rPr>
                <w:rFonts w:eastAsia="Times New Roman" w:cs="Calibri"/>
                <w:b/>
                <w:bCs/>
                <w:color w:val="FFFFFF"/>
                <w:sz w:val="20"/>
                <w:szCs w:val="20"/>
                <w:lang w:eastAsia="cs-CZ"/>
              </w:rPr>
              <w:t>Stupeň vzdělání</w:t>
            </w:r>
          </w:p>
        </w:tc>
        <w:tc>
          <w:tcPr>
            <w:tcW w:w="270" w:type="pct"/>
            <w:tcBorders>
              <w:top w:val="single" w:sz="4" w:space="0" w:color="8ED973"/>
              <w:left w:val="nil"/>
              <w:bottom w:val="nil"/>
              <w:right w:val="single" w:sz="4" w:space="0" w:color="4EA72E"/>
            </w:tcBorders>
            <w:shd w:val="clear" w:color="4EA72E" w:fill="4EA72E"/>
            <w:noWrap/>
            <w:vAlign w:val="bottom"/>
            <w:hideMark/>
          </w:tcPr>
          <w:p w14:paraId="53B38F8B" w14:textId="77777777" w:rsidR="0024586E" w:rsidRPr="00301648" w:rsidRDefault="0024586E" w:rsidP="009574F4">
            <w:pPr>
              <w:spacing w:after="0"/>
              <w:rPr>
                <w:rFonts w:eastAsia="Times New Roman" w:cs="Calibri"/>
                <w:b/>
                <w:bCs/>
                <w:color w:val="FFFFFF"/>
                <w:sz w:val="20"/>
                <w:szCs w:val="20"/>
                <w:lang w:eastAsia="cs-CZ"/>
              </w:rPr>
            </w:pPr>
            <w:r w:rsidRPr="00301648">
              <w:rPr>
                <w:rFonts w:eastAsia="Times New Roman" w:cs="Calibri"/>
                <w:b/>
                <w:bCs/>
                <w:color w:val="FFFFFF"/>
                <w:sz w:val="20"/>
                <w:szCs w:val="20"/>
                <w:lang w:eastAsia="cs-CZ"/>
              </w:rPr>
              <w:t>Pořadí</w:t>
            </w:r>
          </w:p>
        </w:tc>
      </w:tr>
      <w:tr w:rsidR="0024586E" w:rsidRPr="00301648" w14:paraId="45903CDE" w14:textId="77777777" w:rsidTr="009A58B0">
        <w:trPr>
          <w:trHeight w:val="290"/>
        </w:trPr>
        <w:tc>
          <w:tcPr>
            <w:tcW w:w="2354" w:type="pct"/>
            <w:tcBorders>
              <w:top w:val="single" w:sz="4" w:space="0" w:color="8ED973"/>
              <w:left w:val="single" w:sz="4" w:space="0" w:color="4EA72E"/>
              <w:bottom w:val="nil"/>
              <w:right w:val="nil"/>
            </w:tcBorders>
            <w:hideMark/>
          </w:tcPr>
          <w:p w14:paraId="7369E75D"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Průměrný plat speciálního pedagoga k průměrné mzdě</w:t>
            </w:r>
          </w:p>
        </w:tc>
        <w:tc>
          <w:tcPr>
            <w:tcW w:w="649" w:type="pct"/>
            <w:tcBorders>
              <w:top w:val="single" w:sz="4" w:space="0" w:color="8ED973"/>
              <w:left w:val="nil"/>
              <w:bottom w:val="nil"/>
              <w:right w:val="nil"/>
            </w:tcBorders>
            <w:noWrap/>
            <w:hideMark/>
          </w:tcPr>
          <w:p w14:paraId="40DDCD6D"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Pracovníci ve školství</w:t>
            </w:r>
          </w:p>
        </w:tc>
        <w:tc>
          <w:tcPr>
            <w:tcW w:w="1215" w:type="pct"/>
            <w:tcBorders>
              <w:top w:val="single" w:sz="4" w:space="0" w:color="8ED973"/>
              <w:left w:val="nil"/>
              <w:bottom w:val="nil"/>
              <w:right w:val="nil"/>
            </w:tcBorders>
            <w:noWrap/>
            <w:hideMark/>
          </w:tcPr>
          <w:p w14:paraId="181EA52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6AB2280C"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MŠ, ZŠ, SŠ</w:t>
            </w:r>
          </w:p>
        </w:tc>
        <w:tc>
          <w:tcPr>
            <w:tcW w:w="270" w:type="pct"/>
            <w:tcBorders>
              <w:top w:val="single" w:sz="4" w:space="0" w:color="8ED973"/>
              <w:left w:val="nil"/>
              <w:bottom w:val="nil"/>
              <w:right w:val="single" w:sz="4" w:space="0" w:color="4EA72E"/>
            </w:tcBorders>
            <w:noWrap/>
            <w:hideMark/>
          </w:tcPr>
          <w:p w14:paraId="4FB7499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2</w:t>
            </w:r>
          </w:p>
        </w:tc>
      </w:tr>
      <w:tr w:rsidR="0024586E" w:rsidRPr="00301648" w14:paraId="0021EE73" w14:textId="77777777" w:rsidTr="009A58B0">
        <w:trPr>
          <w:trHeight w:val="290"/>
        </w:trPr>
        <w:tc>
          <w:tcPr>
            <w:tcW w:w="2354" w:type="pct"/>
            <w:tcBorders>
              <w:top w:val="single" w:sz="4" w:space="0" w:color="8ED973"/>
              <w:left w:val="single" w:sz="4" w:space="0" w:color="4EA72E"/>
              <w:bottom w:val="nil"/>
              <w:right w:val="nil"/>
            </w:tcBorders>
            <w:hideMark/>
          </w:tcPr>
          <w:p w14:paraId="497BDDE6"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Počet úvazků psychologa na 10 tis. dětí a žáků za ředitelství</w:t>
            </w:r>
          </w:p>
        </w:tc>
        <w:tc>
          <w:tcPr>
            <w:tcW w:w="649" w:type="pct"/>
            <w:tcBorders>
              <w:top w:val="single" w:sz="4" w:space="0" w:color="8ED973"/>
              <w:left w:val="nil"/>
              <w:bottom w:val="nil"/>
              <w:right w:val="nil"/>
            </w:tcBorders>
            <w:noWrap/>
            <w:hideMark/>
          </w:tcPr>
          <w:p w14:paraId="2FFCA4C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Pracovníci ve školství</w:t>
            </w:r>
          </w:p>
        </w:tc>
        <w:tc>
          <w:tcPr>
            <w:tcW w:w="1215" w:type="pct"/>
            <w:tcBorders>
              <w:top w:val="single" w:sz="4" w:space="0" w:color="8ED973"/>
              <w:left w:val="nil"/>
              <w:bottom w:val="nil"/>
              <w:right w:val="nil"/>
            </w:tcBorders>
            <w:noWrap/>
            <w:hideMark/>
          </w:tcPr>
          <w:p w14:paraId="0A4B746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0BBCD5FB"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MŠ, ZŠ, SŠ</w:t>
            </w:r>
          </w:p>
        </w:tc>
        <w:tc>
          <w:tcPr>
            <w:tcW w:w="270" w:type="pct"/>
            <w:tcBorders>
              <w:top w:val="single" w:sz="4" w:space="0" w:color="8ED973"/>
              <w:left w:val="nil"/>
              <w:bottom w:val="nil"/>
              <w:right w:val="single" w:sz="4" w:space="0" w:color="4EA72E"/>
            </w:tcBorders>
            <w:noWrap/>
            <w:hideMark/>
          </w:tcPr>
          <w:p w14:paraId="6669B3C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14</w:t>
            </w:r>
          </w:p>
        </w:tc>
      </w:tr>
      <w:tr w:rsidR="0024586E" w:rsidRPr="00301648" w14:paraId="72E1F80B" w14:textId="77777777" w:rsidTr="009A58B0">
        <w:trPr>
          <w:trHeight w:val="290"/>
        </w:trPr>
        <w:tc>
          <w:tcPr>
            <w:tcW w:w="2354" w:type="pct"/>
            <w:tcBorders>
              <w:top w:val="single" w:sz="4" w:space="0" w:color="8ED973"/>
              <w:left w:val="single" w:sz="4" w:space="0" w:color="4EA72E"/>
              <w:bottom w:val="nil"/>
              <w:right w:val="nil"/>
            </w:tcBorders>
            <w:hideMark/>
          </w:tcPr>
          <w:p w14:paraId="30C5648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Počet úvazků skupiny nepedagogických zaměstnanců v MŠ na 10 tis. dětí</w:t>
            </w:r>
          </w:p>
        </w:tc>
        <w:tc>
          <w:tcPr>
            <w:tcW w:w="649" w:type="pct"/>
            <w:tcBorders>
              <w:top w:val="single" w:sz="4" w:space="0" w:color="8ED973"/>
              <w:left w:val="nil"/>
              <w:bottom w:val="nil"/>
              <w:right w:val="nil"/>
            </w:tcBorders>
            <w:noWrap/>
            <w:hideMark/>
          </w:tcPr>
          <w:p w14:paraId="1FAD819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Pracovníci ve školství</w:t>
            </w:r>
          </w:p>
        </w:tc>
        <w:tc>
          <w:tcPr>
            <w:tcW w:w="1215" w:type="pct"/>
            <w:tcBorders>
              <w:top w:val="single" w:sz="4" w:space="0" w:color="8ED973"/>
              <w:left w:val="nil"/>
              <w:bottom w:val="nil"/>
              <w:right w:val="nil"/>
            </w:tcBorders>
            <w:noWrap/>
            <w:hideMark/>
          </w:tcPr>
          <w:p w14:paraId="5E50F56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Nepedagogické profese</w:t>
            </w:r>
          </w:p>
        </w:tc>
        <w:tc>
          <w:tcPr>
            <w:tcW w:w="511" w:type="pct"/>
            <w:tcBorders>
              <w:top w:val="single" w:sz="4" w:space="0" w:color="8ED973"/>
              <w:left w:val="nil"/>
              <w:bottom w:val="nil"/>
              <w:right w:val="nil"/>
            </w:tcBorders>
            <w:noWrap/>
            <w:hideMark/>
          </w:tcPr>
          <w:p w14:paraId="62E2C30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MŠ</w:t>
            </w:r>
          </w:p>
        </w:tc>
        <w:tc>
          <w:tcPr>
            <w:tcW w:w="270" w:type="pct"/>
            <w:tcBorders>
              <w:top w:val="single" w:sz="4" w:space="0" w:color="8ED973"/>
              <w:left w:val="nil"/>
              <w:bottom w:val="nil"/>
              <w:right w:val="single" w:sz="4" w:space="0" w:color="4EA72E"/>
            </w:tcBorders>
            <w:noWrap/>
            <w:hideMark/>
          </w:tcPr>
          <w:p w14:paraId="3060211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14</w:t>
            </w:r>
          </w:p>
        </w:tc>
      </w:tr>
      <w:tr w:rsidR="0024586E" w:rsidRPr="00301648" w14:paraId="7436BE38" w14:textId="77777777" w:rsidTr="009A58B0">
        <w:trPr>
          <w:trHeight w:val="290"/>
        </w:trPr>
        <w:tc>
          <w:tcPr>
            <w:tcW w:w="2354" w:type="pct"/>
            <w:tcBorders>
              <w:top w:val="single" w:sz="4" w:space="0" w:color="8ED973"/>
              <w:left w:val="single" w:sz="4" w:space="0" w:color="4EA72E"/>
              <w:bottom w:val="nil"/>
              <w:right w:val="nil"/>
            </w:tcBorders>
            <w:hideMark/>
          </w:tcPr>
          <w:p w14:paraId="61F5C0E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dětí a žáků vzdělávajících se v neveřejných školách</w:t>
            </w:r>
          </w:p>
        </w:tc>
        <w:tc>
          <w:tcPr>
            <w:tcW w:w="649" w:type="pct"/>
            <w:tcBorders>
              <w:top w:val="single" w:sz="4" w:space="0" w:color="8ED973"/>
              <w:left w:val="nil"/>
              <w:bottom w:val="nil"/>
              <w:right w:val="nil"/>
            </w:tcBorders>
            <w:noWrap/>
            <w:hideMark/>
          </w:tcPr>
          <w:p w14:paraId="2BF5F79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Školy a zřizovatelé</w:t>
            </w:r>
          </w:p>
        </w:tc>
        <w:tc>
          <w:tcPr>
            <w:tcW w:w="1215" w:type="pct"/>
            <w:tcBorders>
              <w:top w:val="single" w:sz="4" w:space="0" w:color="8ED973"/>
              <w:left w:val="nil"/>
              <w:bottom w:val="nil"/>
              <w:right w:val="nil"/>
            </w:tcBorders>
            <w:noWrap/>
            <w:hideMark/>
          </w:tcPr>
          <w:p w14:paraId="16294DDB"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499C7BC9"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MŠ, ZŠ, SŠ</w:t>
            </w:r>
          </w:p>
        </w:tc>
        <w:tc>
          <w:tcPr>
            <w:tcW w:w="270" w:type="pct"/>
            <w:tcBorders>
              <w:top w:val="single" w:sz="4" w:space="0" w:color="8ED973"/>
              <w:left w:val="nil"/>
              <w:bottom w:val="nil"/>
              <w:right w:val="single" w:sz="4" w:space="0" w:color="4EA72E"/>
            </w:tcBorders>
            <w:noWrap/>
            <w:hideMark/>
          </w:tcPr>
          <w:p w14:paraId="1345B4D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13</w:t>
            </w:r>
          </w:p>
        </w:tc>
      </w:tr>
      <w:tr w:rsidR="0024586E" w:rsidRPr="00301648" w14:paraId="6199B117" w14:textId="77777777" w:rsidTr="009A58B0">
        <w:trPr>
          <w:trHeight w:val="520"/>
        </w:trPr>
        <w:tc>
          <w:tcPr>
            <w:tcW w:w="2354" w:type="pct"/>
            <w:tcBorders>
              <w:top w:val="single" w:sz="4" w:space="0" w:color="8ED973"/>
              <w:left w:val="single" w:sz="4" w:space="0" w:color="4EA72E"/>
              <w:bottom w:val="nil"/>
              <w:right w:val="nil"/>
            </w:tcBorders>
            <w:hideMark/>
          </w:tcPr>
          <w:p w14:paraId="732C53B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absolventů středního vzdělávání s maturitní zkouškou v gymnaziálních oborech v denní formě vzdělávání</w:t>
            </w:r>
          </w:p>
        </w:tc>
        <w:tc>
          <w:tcPr>
            <w:tcW w:w="649" w:type="pct"/>
            <w:tcBorders>
              <w:top w:val="single" w:sz="4" w:space="0" w:color="8ED973"/>
              <w:left w:val="nil"/>
              <w:bottom w:val="nil"/>
              <w:right w:val="nil"/>
            </w:tcBorders>
            <w:noWrap/>
            <w:hideMark/>
          </w:tcPr>
          <w:p w14:paraId="0693962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 na vzdělávání</w:t>
            </w:r>
          </w:p>
        </w:tc>
        <w:tc>
          <w:tcPr>
            <w:tcW w:w="1215" w:type="pct"/>
            <w:tcBorders>
              <w:top w:val="single" w:sz="4" w:space="0" w:color="8ED973"/>
              <w:left w:val="nil"/>
              <w:bottom w:val="nil"/>
              <w:right w:val="nil"/>
            </w:tcBorders>
            <w:noWrap/>
            <w:hideMark/>
          </w:tcPr>
          <w:p w14:paraId="66F327F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Absolventi</w:t>
            </w:r>
          </w:p>
        </w:tc>
        <w:tc>
          <w:tcPr>
            <w:tcW w:w="511" w:type="pct"/>
            <w:tcBorders>
              <w:top w:val="single" w:sz="4" w:space="0" w:color="8ED973"/>
              <w:left w:val="nil"/>
              <w:bottom w:val="nil"/>
              <w:right w:val="nil"/>
            </w:tcBorders>
            <w:noWrap/>
            <w:hideMark/>
          </w:tcPr>
          <w:p w14:paraId="1950D62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4D3411B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13</w:t>
            </w:r>
          </w:p>
        </w:tc>
      </w:tr>
      <w:tr w:rsidR="0024586E" w:rsidRPr="00301648" w14:paraId="55C63A4E" w14:textId="77777777" w:rsidTr="009A58B0">
        <w:trPr>
          <w:trHeight w:val="290"/>
        </w:trPr>
        <w:tc>
          <w:tcPr>
            <w:tcW w:w="2354" w:type="pct"/>
            <w:tcBorders>
              <w:top w:val="single" w:sz="4" w:space="0" w:color="8ED973"/>
              <w:left w:val="single" w:sz="4" w:space="0" w:color="4EA72E"/>
              <w:bottom w:val="nil"/>
              <w:right w:val="nil"/>
            </w:tcBorders>
            <w:hideMark/>
          </w:tcPr>
          <w:p w14:paraId="602B9DFD"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čerstvých absolventů s výučním listem, kteří pokračují do nástavbového studia v denní formě studia</w:t>
            </w:r>
          </w:p>
        </w:tc>
        <w:tc>
          <w:tcPr>
            <w:tcW w:w="649" w:type="pct"/>
            <w:tcBorders>
              <w:top w:val="single" w:sz="4" w:space="0" w:color="8ED973"/>
              <w:left w:val="nil"/>
              <w:bottom w:val="nil"/>
              <w:right w:val="nil"/>
            </w:tcBorders>
            <w:noWrap/>
            <w:hideMark/>
          </w:tcPr>
          <w:p w14:paraId="0458DC90"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 na vzdělávání</w:t>
            </w:r>
          </w:p>
        </w:tc>
        <w:tc>
          <w:tcPr>
            <w:tcW w:w="1215" w:type="pct"/>
            <w:tcBorders>
              <w:top w:val="single" w:sz="4" w:space="0" w:color="8ED973"/>
              <w:left w:val="nil"/>
              <w:bottom w:val="nil"/>
              <w:right w:val="nil"/>
            </w:tcBorders>
            <w:noWrap/>
            <w:hideMark/>
          </w:tcPr>
          <w:p w14:paraId="6012382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3600568E"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4605562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2</w:t>
            </w:r>
          </w:p>
        </w:tc>
      </w:tr>
      <w:tr w:rsidR="0024586E" w:rsidRPr="00301648" w14:paraId="10BBE1E3" w14:textId="77777777" w:rsidTr="009A58B0">
        <w:trPr>
          <w:trHeight w:val="520"/>
        </w:trPr>
        <w:tc>
          <w:tcPr>
            <w:tcW w:w="2354" w:type="pct"/>
            <w:tcBorders>
              <w:top w:val="single" w:sz="4" w:space="0" w:color="8ED973"/>
              <w:left w:val="single" w:sz="4" w:space="0" w:color="4EA72E"/>
              <w:bottom w:val="nil"/>
              <w:right w:val="nil"/>
            </w:tcBorders>
            <w:hideMark/>
          </w:tcPr>
          <w:p w14:paraId="30B7A80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nově přijatých žáků do 1. ročníku středního vzdělávání s maturitní zkouškou v gymnaziálních oborech v denní formě vzdělávání</w:t>
            </w:r>
          </w:p>
        </w:tc>
        <w:tc>
          <w:tcPr>
            <w:tcW w:w="649" w:type="pct"/>
            <w:tcBorders>
              <w:top w:val="single" w:sz="4" w:space="0" w:color="8ED973"/>
              <w:left w:val="nil"/>
              <w:bottom w:val="nil"/>
              <w:right w:val="nil"/>
            </w:tcBorders>
            <w:noWrap/>
            <w:hideMark/>
          </w:tcPr>
          <w:p w14:paraId="10B56797"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 na vzdělávání</w:t>
            </w:r>
          </w:p>
        </w:tc>
        <w:tc>
          <w:tcPr>
            <w:tcW w:w="1215" w:type="pct"/>
            <w:tcBorders>
              <w:top w:val="single" w:sz="4" w:space="0" w:color="8ED973"/>
              <w:left w:val="nil"/>
              <w:bottom w:val="nil"/>
              <w:right w:val="nil"/>
            </w:tcBorders>
            <w:noWrap/>
            <w:hideMark/>
          </w:tcPr>
          <w:p w14:paraId="1A53BFE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19F6F08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3175D6BD"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13</w:t>
            </w:r>
          </w:p>
        </w:tc>
      </w:tr>
      <w:tr w:rsidR="0024586E" w:rsidRPr="00301648" w14:paraId="06E29D10" w14:textId="77777777" w:rsidTr="009A58B0">
        <w:trPr>
          <w:trHeight w:val="290"/>
        </w:trPr>
        <w:tc>
          <w:tcPr>
            <w:tcW w:w="2354" w:type="pct"/>
            <w:tcBorders>
              <w:top w:val="single" w:sz="4" w:space="0" w:color="8ED973"/>
              <w:left w:val="single" w:sz="4" w:space="0" w:color="4EA72E"/>
              <w:bottom w:val="nil"/>
              <w:right w:val="nil"/>
            </w:tcBorders>
            <w:hideMark/>
          </w:tcPr>
          <w:p w14:paraId="12D5710C"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dětí plnící povinný předškolní ročník z věkové skupiny</w:t>
            </w:r>
          </w:p>
        </w:tc>
        <w:tc>
          <w:tcPr>
            <w:tcW w:w="649" w:type="pct"/>
            <w:tcBorders>
              <w:top w:val="single" w:sz="4" w:space="0" w:color="8ED973"/>
              <w:left w:val="nil"/>
              <w:bottom w:val="nil"/>
              <w:right w:val="nil"/>
            </w:tcBorders>
            <w:noWrap/>
            <w:hideMark/>
          </w:tcPr>
          <w:p w14:paraId="215E99F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 na vzdělávání</w:t>
            </w:r>
          </w:p>
        </w:tc>
        <w:tc>
          <w:tcPr>
            <w:tcW w:w="1215" w:type="pct"/>
            <w:tcBorders>
              <w:top w:val="single" w:sz="4" w:space="0" w:color="8ED973"/>
              <w:left w:val="nil"/>
              <w:bottom w:val="nil"/>
              <w:right w:val="nil"/>
            </w:tcBorders>
            <w:noWrap/>
            <w:hideMark/>
          </w:tcPr>
          <w:p w14:paraId="4544C8C8"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AD781C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MŠ</w:t>
            </w:r>
          </w:p>
        </w:tc>
        <w:tc>
          <w:tcPr>
            <w:tcW w:w="270" w:type="pct"/>
            <w:tcBorders>
              <w:top w:val="single" w:sz="4" w:space="0" w:color="8ED973"/>
              <w:left w:val="nil"/>
              <w:bottom w:val="nil"/>
              <w:right w:val="single" w:sz="4" w:space="0" w:color="4EA72E"/>
            </w:tcBorders>
            <w:noWrap/>
            <w:hideMark/>
          </w:tcPr>
          <w:p w14:paraId="3899FF4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13</w:t>
            </w:r>
          </w:p>
        </w:tc>
      </w:tr>
      <w:tr w:rsidR="0024586E" w:rsidRPr="00301648" w14:paraId="2C58C8D7" w14:textId="77777777" w:rsidTr="009A58B0">
        <w:trPr>
          <w:trHeight w:val="290"/>
        </w:trPr>
        <w:tc>
          <w:tcPr>
            <w:tcW w:w="2354" w:type="pct"/>
            <w:tcBorders>
              <w:top w:val="single" w:sz="4" w:space="0" w:color="8ED973"/>
              <w:left w:val="single" w:sz="4" w:space="0" w:color="4EA72E"/>
              <w:bottom w:val="nil"/>
              <w:right w:val="nil"/>
            </w:tcBorders>
            <w:hideMark/>
          </w:tcPr>
          <w:p w14:paraId="3EB01B9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s přiznaným podpůrným opatřením s kódem NFN v ZŠ</w:t>
            </w:r>
          </w:p>
        </w:tc>
        <w:tc>
          <w:tcPr>
            <w:tcW w:w="649" w:type="pct"/>
            <w:tcBorders>
              <w:top w:val="single" w:sz="4" w:space="0" w:color="8ED973"/>
              <w:left w:val="nil"/>
              <w:bottom w:val="nil"/>
              <w:right w:val="nil"/>
            </w:tcBorders>
            <w:noWrap/>
            <w:hideMark/>
          </w:tcPr>
          <w:p w14:paraId="05206E1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 na vzdělávání</w:t>
            </w:r>
          </w:p>
        </w:tc>
        <w:tc>
          <w:tcPr>
            <w:tcW w:w="1215" w:type="pct"/>
            <w:tcBorders>
              <w:top w:val="single" w:sz="4" w:space="0" w:color="8ED973"/>
              <w:left w:val="nil"/>
              <w:bottom w:val="nil"/>
              <w:right w:val="nil"/>
            </w:tcBorders>
            <w:noWrap/>
            <w:hideMark/>
          </w:tcPr>
          <w:p w14:paraId="482B4AB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3FDDD500"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ZŠ</w:t>
            </w:r>
          </w:p>
        </w:tc>
        <w:tc>
          <w:tcPr>
            <w:tcW w:w="270" w:type="pct"/>
            <w:tcBorders>
              <w:top w:val="single" w:sz="4" w:space="0" w:color="8ED973"/>
              <w:left w:val="nil"/>
              <w:bottom w:val="nil"/>
              <w:right w:val="single" w:sz="4" w:space="0" w:color="4EA72E"/>
            </w:tcBorders>
            <w:noWrap/>
            <w:hideMark/>
          </w:tcPr>
          <w:p w14:paraId="3C413346"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14</w:t>
            </w:r>
          </w:p>
        </w:tc>
      </w:tr>
      <w:tr w:rsidR="0024586E" w:rsidRPr="00301648" w14:paraId="29C320D0" w14:textId="77777777" w:rsidTr="009A58B0">
        <w:trPr>
          <w:trHeight w:val="290"/>
        </w:trPr>
        <w:tc>
          <w:tcPr>
            <w:tcW w:w="2354" w:type="pct"/>
            <w:tcBorders>
              <w:top w:val="single" w:sz="4" w:space="0" w:color="8ED973"/>
              <w:left w:val="single" w:sz="4" w:space="0" w:color="4EA72E"/>
              <w:bottom w:val="nil"/>
              <w:right w:val="nil"/>
            </w:tcBorders>
            <w:hideMark/>
          </w:tcPr>
          <w:p w14:paraId="651DB3B9"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ve speciálních třídách SŠ</w:t>
            </w:r>
          </w:p>
        </w:tc>
        <w:tc>
          <w:tcPr>
            <w:tcW w:w="649" w:type="pct"/>
            <w:tcBorders>
              <w:top w:val="single" w:sz="4" w:space="0" w:color="8ED973"/>
              <w:left w:val="nil"/>
              <w:bottom w:val="nil"/>
              <w:right w:val="nil"/>
            </w:tcBorders>
            <w:noWrap/>
            <w:hideMark/>
          </w:tcPr>
          <w:p w14:paraId="3F84B55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 na vzdělávání</w:t>
            </w:r>
          </w:p>
        </w:tc>
        <w:tc>
          <w:tcPr>
            <w:tcW w:w="1215" w:type="pct"/>
            <w:tcBorders>
              <w:top w:val="single" w:sz="4" w:space="0" w:color="8ED973"/>
              <w:left w:val="nil"/>
              <w:bottom w:val="nil"/>
              <w:right w:val="nil"/>
            </w:tcBorders>
            <w:noWrap/>
            <w:hideMark/>
          </w:tcPr>
          <w:p w14:paraId="612CE0F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11BEEC80"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6483A7A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14</w:t>
            </w:r>
          </w:p>
        </w:tc>
      </w:tr>
      <w:tr w:rsidR="0024586E" w:rsidRPr="00301648" w14:paraId="10626BFF" w14:textId="77777777" w:rsidTr="009A58B0">
        <w:trPr>
          <w:trHeight w:val="290"/>
        </w:trPr>
        <w:tc>
          <w:tcPr>
            <w:tcW w:w="2354" w:type="pct"/>
            <w:tcBorders>
              <w:top w:val="single" w:sz="4" w:space="0" w:color="8ED973"/>
              <w:left w:val="single" w:sz="4" w:space="0" w:color="4EA72E"/>
              <w:bottom w:val="nil"/>
              <w:right w:val="nil"/>
            </w:tcBorders>
            <w:hideMark/>
          </w:tcPr>
          <w:p w14:paraId="3DCE840F"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opakujících ročník v SŠ</w:t>
            </w:r>
          </w:p>
        </w:tc>
        <w:tc>
          <w:tcPr>
            <w:tcW w:w="649" w:type="pct"/>
            <w:tcBorders>
              <w:top w:val="single" w:sz="4" w:space="0" w:color="8ED973"/>
              <w:left w:val="nil"/>
              <w:bottom w:val="nil"/>
              <w:right w:val="nil"/>
            </w:tcBorders>
            <w:noWrap/>
            <w:hideMark/>
          </w:tcPr>
          <w:p w14:paraId="36AD0BA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Výsledky vzdělávání</w:t>
            </w:r>
          </w:p>
        </w:tc>
        <w:tc>
          <w:tcPr>
            <w:tcW w:w="1215" w:type="pct"/>
            <w:tcBorders>
              <w:top w:val="single" w:sz="4" w:space="0" w:color="8ED973"/>
              <w:left w:val="nil"/>
              <w:bottom w:val="nil"/>
              <w:right w:val="nil"/>
            </w:tcBorders>
            <w:noWrap/>
            <w:hideMark/>
          </w:tcPr>
          <w:p w14:paraId="27A46467"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68AC846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3D5F6996"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2</w:t>
            </w:r>
          </w:p>
        </w:tc>
      </w:tr>
      <w:tr w:rsidR="0024586E" w:rsidRPr="00301648" w14:paraId="78C1560D" w14:textId="77777777" w:rsidTr="009A58B0">
        <w:trPr>
          <w:trHeight w:val="290"/>
        </w:trPr>
        <w:tc>
          <w:tcPr>
            <w:tcW w:w="2354" w:type="pct"/>
            <w:tcBorders>
              <w:top w:val="single" w:sz="4" w:space="0" w:color="8ED973"/>
              <w:left w:val="single" w:sz="4" w:space="0" w:color="4EA72E"/>
              <w:bottom w:val="nil"/>
              <w:right w:val="nil"/>
            </w:tcBorders>
            <w:hideMark/>
          </w:tcPr>
          <w:p w14:paraId="2AD5DA9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opakujících ročník v SŠ v nematuritních oborech</w:t>
            </w:r>
          </w:p>
        </w:tc>
        <w:tc>
          <w:tcPr>
            <w:tcW w:w="649" w:type="pct"/>
            <w:tcBorders>
              <w:top w:val="single" w:sz="4" w:space="0" w:color="8ED973"/>
              <w:left w:val="nil"/>
              <w:bottom w:val="nil"/>
              <w:right w:val="nil"/>
            </w:tcBorders>
            <w:noWrap/>
            <w:hideMark/>
          </w:tcPr>
          <w:p w14:paraId="692EF11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Výsledky vzdělávání</w:t>
            </w:r>
          </w:p>
        </w:tc>
        <w:tc>
          <w:tcPr>
            <w:tcW w:w="1215" w:type="pct"/>
            <w:tcBorders>
              <w:top w:val="single" w:sz="4" w:space="0" w:color="8ED973"/>
              <w:left w:val="nil"/>
              <w:bottom w:val="nil"/>
              <w:right w:val="nil"/>
            </w:tcBorders>
            <w:noWrap/>
            <w:hideMark/>
          </w:tcPr>
          <w:p w14:paraId="48E33E2B"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50D4D069"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0F4C2F5A"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2</w:t>
            </w:r>
          </w:p>
        </w:tc>
      </w:tr>
      <w:tr w:rsidR="0024586E" w:rsidRPr="00301648" w14:paraId="28D12D35" w14:textId="77777777" w:rsidTr="009A58B0">
        <w:trPr>
          <w:trHeight w:val="290"/>
        </w:trPr>
        <w:tc>
          <w:tcPr>
            <w:tcW w:w="2354" w:type="pct"/>
            <w:tcBorders>
              <w:top w:val="single" w:sz="4" w:space="0" w:color="8ED973"/>
              <w:left w:val="single" w:sz="4" w:space="0" w:color="4EA72E"/>
              <w:bottom w:val="nil"/>
              <w:right w:val="nil"/>
            </w:tcBorders>
            <w:hideMark/>
          </w:tcPr>
          <w:p w14:paraId="2C0F201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opakujících ročník v SŠ v oborech nástavbového studia</w:t>
            </w:r>
          </w:p>
        </w:tc>
        <w:tc>
          <w:tcPr>
            <w:tcW w:w="649" w:type="pct"/>
            <w:tcBorders>
              <w:top w:val="single" w:sz="4" w:space="0" w:color="8ED973"/>
              <w:left w:val="nil"/>
              <w:bottom w:val="nil"/>
              <w:right w:val="nil"/>
            </w:tcBorders>
            <w:noWrap/>
            <w:hideMark/>
          </w:tcPr>
          <w:p w14:paraId="5B4E030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Výsledky vzdělávání</w:t>
            </w:r>
          </w:p>
        </w:tc>
        <w:tc>
          <w:tcPr>
            <w:tcW w:w="1215" w:type="pct"/>
            <w:tcBorders>
              <w:top w:val="single" w:sz="4" w:space="0" w:color="8ED973"/>
              <w:left w:val="nil"/>
              <w:bottom w:val="nil"/>
              <w:right w:val="nil"/>
            </w:tcBorders>
            <w:noWrap/>
            <w:hideMark/>
          </w:tcPr>
          <w:p w14:paraId="5AD69E4C"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7683AE6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SŠ</w:t>
            </w:r>
          </w:p>
        </w:tc>
        <w:tc>
          <w:tcPr>
            <w:tcW w:w="270" w:type="pct"/>
            <w:tcBorders>
              <w:top w:val="single" w:sz="4" w:space="0" w:color="8ED973"/>
              <w:left w:val="nil"/>
              <w:bottom w:val="nil"/>
              <w:right w:val="single" w:sz="4" w:space="0" w:color="4EA72E"/>
            </w:tcBorders>
            <w:noWrap/>
            <w:hideMark/>
          </w:tcPr>
          <w:p w14:paraId="34C5F19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2</w:t>
            </w:r>
          </w:p>
        </w:tc>
      </w:tr>
      <w:tr w:rsidR="0024586E" w:rsidRPr="00301648" w14:paraId="30FFF683" w14:textId="77777777" w:rsidTr="009A58B0">
        <w:trPr>
          <w:trHeight w:val="290"/>
        </w:trPr>
        <w:tc>
          <w:tcPr>
            <w:tcW w:w="2354" w:type="pct"/>
            <w:tcBorders>
              <w:top w:val="single" w:sz="4" w:space="0" w:color="8ED973"/>
              <w:left w:val="single" w:sz="4" w:space="0" w:color="4EA72E"/>
              <w:bottom w:val="nil"/>
              <w:right w:val="nil"/>
            </w:tcBorders>
            <w:hideMark/>
          </w:tcPr>
          <w:p w14:paraId="7BC0027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Index pocitu sounáležitosti (PISA, 15letí)</w:t>
            </w:r>
          </w:p>
        </w:tc>
        <w:tc>
          <w:tcPr>
            <w:tcW w:w="649" w:type="pct"/>
            <w:tcBorders>
              <w:top w:val="single" w:sz="4" w:space="0" w:color="8ED973"/>
              <w:left w:val="nil"/>
              <w:bottom w:val="nil"/>
              <w:right w:val="nil"/>
            </w:tcBorders>
            <w:noWrap/>
            <w:hideMark/>
          </w:tcPr>
          <w:p w14:paraId="102AD876"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Well-being</w:t>
            </w:r>
          </w:p>
        </w:tc>
        <w:tc>
          <w:tcPr>
            <w:tcW w:w="1215" w:type="pct"/>
            <w:tcBorders>
              <w:top w:val="single" w:sz="4" w:space="0" w:color="8ED973"/>
              <w:left w:val="nil"/>
              <w:bottom w:val="nil"/>
              <w:right w:val="nil"/>
            </w:tcBorders>
            <w:noWrap/>
            <w:hideMark/>
          </w:tcPr>
          <w:p w14:paraId="56BEE2E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7412E4E5"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ZŠ, SŠ</w:t>
            </w:r>
          </w:p>
        </w:tc>
        <w:tc>
          <w:tcPr>
            <w:tcW w:w="270" w:type="pct"/>
            <w:tcBorders>
              <w:top w:val="single" w:sz="4" w:space="0" w:color="8ED973"/>
              <w:left w:val="nil"/>
              <w:bottom w:val="nil"/>
              <w:right w:val="single" w:sz="4" w:space="0" w:color="4EA72E"/>
            </w:tcBorders>
            <w:noWrap/>
            <w:hideMark/>
          </w:tcPr>
          <w:p w14:paraId="13E41B82"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w:t>
            </w:r>
          </w:p>
        </w:tc>
      </w:tr>
      <w:tr w:rsidR="0024586E" w:rsidRPr="00301648" w14:paraId="09B10000" w14:textId="77777777" w:rsidTr="009A58B0">
        <w:trPr>
          <w:trHeight w:val="290"/>
        </w:trPr>
        <w:tc>
          <w:tcPr>
            <w:tcW w:w="2354" w:type="pct"/>
            <w:tcBorders>
              <w:top w:val="single" w:sz="4" w:space="0" w:color="8ED973"/>
              <w:left w:val="single" w:sz="4" w:space="0" w:color="4EA72E"/>
              <w:bottom w:val="nil"/>
              <w:right w:val="nil"/>
            </w:tcBorders>
            <w:hideMark/>
          </w:tcPr>
          <w:p w14:paraId="66A0C07A"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Pocit sounáležitosti TIMSS – žáci 8. ročníků ZŠ</w:t>
            </w:r>
          </w:p>
        </w:tc>
        <w:tc>
          <w:tcPr>
            <w:tcW w:w="649" w:type="pct"/>
            <w:tcBorders>
              <w:top w:val="single" w:sz="4" w:space="0" w:color="8ED973"/>
              <w:left w:val="nil"/>
              <w:bottom w:val="nil"/>
              <w:right w:val="nil"/>
            </w:tcBorders>
            <w:noWrap/>
            <w:hideMark/>
          </w:tcPr>
          <w:p w14:paraId="4004EDB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Well-being</w:t>
            </w:r>
          </w:p>
        </w:tc>
        <w:tc>
          <w:tcPr>
            <w:tcW w:w="1215" w:type="pct"/>
            <w:tcBorders>
              <w:top w:val="single" w:sz="4" w:space="0" w:color="8ED973"/>
              <w:left w:val="nil"/>
              <w:bottom w:val="nil"/>
              <w:right w:val="nil"/>
            </w:tcBorders>
            <w:noWrap/>
            <w:hideMark/>
          </w:tcPr>
          <w:p w14:paraId="181FBCA7"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1495173B"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ZŠ</w:t>
            </w:r>
          </w:p>
        </w:tc>
        <w:tc>
          <w:tcPr>
            <w:tcW w:w="270" w:type="pct"/>
            <w:tcBorders>
              <w:top w:val="single" w:sz="4" w:space="0" w:color="8ED973"/>
              <w:left w:val="nil"/>
              <w:bottom w:val="nil"/>
              <w:right w:val="single" w:sz="4" w:space="0" w:color="4EA72E"/>
            </w:tcBorders>
            <w:noWrap/>
            <w:hideMark/>
          </w:tcPr>
          <w:p w14:paraId="36A8EDA1"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2</w:t>
            </w:r>
          </w:p>
        </w:tc>
      </w:tr>
      <w:tr w:rsidR="0024586E" w:rsidRPr="00301648" w14:paraId="6D8C8399" w14:textId="77777777" w:rsidTr="009A58B0">
        <w:trPr>
          <w:trHeight w:val="290"/>
        </w:trPr>
        <w:tc>
          <w:tcPr>
            <w:tcW w:w="2354" w:type="pct"/>
            <w:tcBorders>
              <w:top w:val="single" w:sz="4" w:space="0" w:color="8ED973"/>
              <w:left w:val="single" w:sz="4" w:space="0" w:color="4EA72E"/>
              <w:bottom w:val="nil"/>
              <w:right w:val="nil"/>
            </w:tcBorders>
            <w:hideMark/>
          </w:tcPr>
          <w:p w14:paraId="6659B08D"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8. tříd ZŠ s excelentními výsledky v testech matematických dovedností (TIMSS)</w:t>
            </w:r>
          </w:p>
        </w:tc>
        <w:tc>
          <w:tcPr>
            <w:tcW w:w="649" w:type="pct"/>
            <w:tcBorders>
              <w:top w:val="single" w:sz="4" w:space="0" w:color="8ED973"/>
              <w:left w:val="nil"/>
              <w:bottom w:val="nil"/>
              <w:right w:val="nil"/>
            </w:tcBorders>
            <w:noWrap/>
            <w:hideMark/>
          </w:tcPr>
          <w:p w14:paraId="19D7060A"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Nerovnosti</w:t>
            </w:r>
          </w:p>
        </w:tc>
        <w:tc>
          <w:tcPr>
            <w:tcW w:w="1215" w:type="pct"/>
            <w:tcBorders>
              <w:top w:val="single" w:sz="4" w:space="0" w:color="8ED973"/>
              <w:left w:val="nil"/>
              <w:bottom w:val="nil"/>
              <w:right w:val="nil"/>
            </w:tcBorders>
            <w:noWrap/>
            <w:hideMark/>
          </w:tcPr>
          <w:p w14:paraId="690F67ED"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0F12D514"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ZŠ</w:t>
            </w:r>
          </w:p>
        </w:tc>
        <w:tc>
          <w:tcPr>
            <w:tcW w:w="270" w:type="pct"/>
            <w:tcBorders>
              <w:top w:val="single" w:sz="4" w:space="0" w:color="8ED973"/>
              <w:left w:val="nil"/>
              <w:bottom w:val="nil"/>
              <w:right w:val="single" w:sz="4" w:space="0" w:color="4EA72E"/>
            </w:tcBorders>
            <w:noWrap/>
            <w:hideMark/>
          </w:tcPr>
          <w:p w14:paraId="60851BE8"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13</w:t>
            </w:r>
          </w:p>
        </w:tc>
      </w:tr>
      <w:tr w:rsidR="0024586E" w:rsidRPr="00301648" w14:paraId="25E39D38" w14:textId="77777777" w:rsidTr="009A58B0">
        <w:trPr>
          <w:trHeight w:val="290"/>
        </w:trPr>
        <w:tc>
          <w:tcPr>
            <w:tcW w:w="2354" w:type="pct"/>
            <w:tcBorders>
              <w:top w:val="single" w:sz="4" w:space="0" w:color="8ED973"/>
              <w:left w:val="single" w:sz="4" w:space="0" w:color="4EA72E"/>
              <w:bottom w:val="single" w:sz="4" w:space="0" w:color="4EA72E"/>
              <w:right w:val="nil"/>
            </w:tcBorders>
            <w:hideMark/>
          </w:tcPr>
          <w:p w14:paraId="42A16923"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Podíl žáků ZŠ s nedostatečnými výsledky v testech čtenářské gramotnosti (PISA)</w:t>
            </w:r>
          </w:p>
        </w:tc>
        <w:tc>
          <w:tcPr>
            <w:tcW w:w="649" w:type="pct"/>
            <w:tcBorders>
              <w:top w:val="single" w:sz="4" w:space="0" w:color="8ED973"/>
              <w:left w:val="nil"/>
              <w:bottom w:val="single" w:sz="4" w:space="0" w:color="4EA72E"/>
              <w:right w:val="nil"/>
            </w:tcBorders>
            <w:noWrap/>
            <w:hideMark/>
          </w:tcPr>
          <w:p w14:paraId="454B3490"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Nerovnosti</w:t>
            </w:r>
          </w:p>
        </w:tc>
        <w:tc>
          <w:tcPr>
            <w:tcW w:w="1215" w:type="pct"/>
            <w:tcBorders>
              <w:top w:val="single" w:sz="4" w:space="0" w:color="8ED973"/>
              <w:left w:val="nil"/>
              <w:bottom w:val="single" w:sz="4" w:space="0" w:color="4EA72E"/>
              <w:right w:val="nil"/>
            </w:tcBorders>
            <w:noWrap/>
            <w:hideMark/>
          </w:tcPr>
          <w:p w14:paraId="712C51C6"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Žáci v dovednostních úrovních</w:t>
            </w:r>
          </w:p>
        </w:tc>
        <w:tc>
          <w:tcPr>
            <w:tcW w:w="511" w:type="pct"/>
            <w:tcBorders>
              <w:top w:val="single" w:sz="4" w:space="0" w:color="8ED973"/>
              <w:left w:val="nil"/>
              <w:bottom w:val="single" w:sz="4" w:space="0" w:color="4EA72E"/>
              <w:right w:val="nil"/>
            </w:tcBorders>
            <w:noWrap/>
            <w:hideMark/>
          </w:tcPr>
          <w:p w14:paraId="4C4A147C"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ZŠ, SŠ</w:t>
            </w:r>
          </w:p>
        </w:tc>
        <w:tc>
          <w:tcPr>
            <w:tcW w:w="270" w:type="pct"/>
            <w:tcBorders>
              <w:top w:val="single" w:sz="4" w:space="0" w:color="8ED973"/>
              <w:left w:val="nil"/>
              <w:bottom w:val="single" w:sz="4" w:space="0" w:color="4EA72E"/>
              <w:right w:val="single" w:sz="4" w:space="0" w:color="4EA72E"/>
            </w:tcBorders>
            <w:noWrap/>
            <w:hideMark/>
          </w:tcPr>
          <w:p w14:paraId="5100C71E" w14:textId="77777777" w:rsidR="0024586E" w:rsidRPr="00301648" w:rsidRDefault="0024586E" w:rsidP="009574F4">
            <w:pPr>
              <w:spacing w:after="0"/>
              <w:rPr>
                <w:rFonts w:eastAsia="Times New Roman" w:cs="Calibri"/>
                <w:color w:val="000000"/>
                <w:sz w:val="20"/>
                <w:szCs w:val="20"/>
                <w:lang w:eastAsia="cs-CZ"/>
              </w:rPr>
            </w:pPr>
            <w:r w:rsidRPr="00301648">
              <w:rPr>
                <w:rFonts w:eastAsia="Times New Roman" w:cs="Calibri"/>
                <w:color w:val="000000"/>
                <w:sz w:val="20"/>
                <w:szCs w:val="20"/>
                <w:lang w:eastAsia="cs-CZ"/>
              </w:rPr>
              <w:t>14</w:t>
            </w:r>
          </w:p>
        </w:tc>
      </w:tr>
    </w:tbl>
    <w:p w14:paraId="28134696" w14:textId="77777777" w:rsidR="0024586E" w:rsidRDefault="0024586E" w:rsidP="0024586E">
      <w:pPr>
        <w:jc w:val="both"/>
      </w:pPr>
    </w:p>
    <w:p w14:paraId="0687A8C9" w14:textId="77777777" w:rsidR="0024586E" w:rsidRDefault="0024586E" w:rsidP="0024586E">
      <w:pPr>
        <w:pStyle w:val="Nadpis4"/>
        <w:rPr>
          <w:b w:val="0"/>
        </w:rPr>
      </w:pPr>
      <w:r>
        <w:lastRenderedPageBreak/>
        <w:t>Karlovarský kraj</w:t>
      </w:r>
    </w:p>
    <w:p w14:paraId="1D62D4A7" w14:textId="77777777" w:rsidR="0024586E" w:rsidRPr="00442D99" w:rsidRDefault="0024586E" w:rsidP="0024586E">
      <w:pPr>
        <w:jc w:val="both"/>
      </w:pPr>
      <w:r>
        <w:t>Karlovarský kraj se vymyká obvyklým hodnotám indikátorů v ostatních krajích v mnoha oblastech. Kromě specifičnosti tohoto kraje zde hraje roli i to, že jde v ČR o nejmenší kraj, a jako takový je více náchylný k extrémům. Pedagogičtí i nepedagogičtí pracovníci zde mají relativně vysoké platy ve vztahu k průměrné mzdě v kraji. Je zde vysoký podíl nekvalifikovaných učitelů, především na úrovni základních škol. Nízká je aprobovanost výuky. V základních a středních školách je nízký počet žáků na učitele. V MŠ je nízký počet asistentů pedagoga ve vztahu k počtu dětí.  Podíl dětí a žáků, kteří se vzdělávají v neveřejných školách, je nízký. Je zde vysoký podíl absolventů středních škol v oborech bez maturitní zkoušky, jen nízký podíl z nich pokračuje dále do nástavbového studia v denní formě vzdělávání. Vzdělanostní aspirace jsou nízké jak ve vztahu k maturitním oborům, tak k vysokoškolskému studiu. V běžných třídách na všech stupních vzdělávání se vzdělává vysoký podíl dětí a žáků se zdravotním znevýhodněním. V MŠ je vysoký p</w:t>
      </w:r>
      <w:r w:rsidRPr="000D5741">
        <w:t>odíl dětí s přiznaným podpůrným opatřením s kódem NFN v</w:t>
      </w:r>
      <w:r>
        <w:t> </w:t>
      </w:r>
      <w:r w:rsidRPr="000D5741">
        <w:t>MŠ</w:t>
      </w:r>
      <w:r>
        <w:t xml:space="preserve"> a v ZŠ je vysoký podíl žáků ve speciálních třídách. Na všech stupních vzdělávání je vysoký podíl dětí a žáků-cizinců. Nízký podíl dětí dochází do MŠ a nízký podíl žáků 1. stupně dochází do školní družiny. Základní školy mají vysoký počet počítačů v přepočtu na žáka. Úspěšnost žáků u maturitní zkoušky je nízká. Výsledky žáků v národních i mezinárodních šetřeních jsou slabé. Vysoký je p</w:t>
      </w:r>
      <w:r w:rsidRPr="008D1056">
        <w:t>odíl žáků odcházející</w:t>
      </w:r>
      <w:r>
        <w:t>ch</w:t>
      </w:r>
      <w:r w:rsidRPr="008D1056">
        <w:t xml:space="preserve"> ze základní školy bez dosaženého stupně vzdělání</w:t>
      </w:r>
      <w:r>
        <w:t xml:space="preserve"> a také podíl žáků odcházejících ze středních škol v průběhu studia.</w:t>
      </w:r>
    </w:p>
    <w:tbl>
      <w:tblPr>
        <w:tblW w:w="5000" w:type="pct"/>
        <w:tblCellMar>
          <w:left w:w="70" w:type="dxa"/>
          <w:right w:w="70" w:type="dxa"/>
        </w:tblCellMar>
        <w:tblLook w:val="04A0" w:firstRow="1" w:lastRow="0" w:firstColumn="1" w:lastColumn="0" w:noHBand="0" w:noVBand="1"/>
      </w:tblPr>
      <w:tblGrid>
        <w:gridCol w:w="6792"/>
        <w:gridCol w:w="1853"/>
        <w:gridCol w:w="3400"/>
        <w:gridCol w:w="1544"/>
        <w:gridCol w:w="687"/>
      </w:tblGrid>
      <w:tr w:rsidR="0024586E" w:rsidRPr="00442D99" w14:paraId="16F652CE" w14:textId="77777777" w:rsidTr="009A58B0">
        <w:trPr>
          <w:trHeight w:val="290"/>
          <w:tblHeader/>
        </w:trPr>
        <w:tc>
          <w:tcPr>
            <w:tcW w:w="2379" w:type="pct"/>
            <w:tcBorders>
              <w:top w:val="single" w:sz="4" w:space="0" w:color="8ED973"/>
              <w:left w:val="single" w:sz="4" w:space="0" w:color="4EA72E"/>
              <w:bottom w:val="nil"/>
              <w:right w:val="nil"/>
            </w:tcBorders>
            <w:shd w:val="clear" w:color="4EA72E" w:fill="4EA72E"/>
            <w:vAlign w:val="bottom"/>
            <w:hideMark/>
          </w:tcPr>
          <w:p w14:paraId="7384D5E5" w14:textId="77777777" w:rsidR="0024586E" w:rsidRPr="00442D99" w:rsidRDefault="0024586E" w:rsidP="009574F4">
            <w:pPr>
              <w:spacing w:after="0"/>
              <w:rPr>
                <w:rFonts w:eastAsia="Times New Roman" w:cs="Calibri"/>
                <w:b/>
                <w:bCs/>
                <w:color w:val="FFFFFF"/>
                <w:sz w:val="20"/>
                <w:szCs w:val="20"/>
                <w:lang w:eastAsia="cs-CZ"/>
              </w:rPr>
            </w:pPr>
            <w:r w:rsidRPr="00442D99">
              <w:rPr>
                <w:rFonts w:eastAsia="Times New Roman" w:cs="Calibri"/>
                <w:b/>
                <w:bCs/>
                <w:color w:val="FFFFFF"/>
                <w:sz w:val="20"/>
                <w:szCs w:val="20"/>
                <w:lang w:eastAsia="cs-CZ"/>
              </w:rPr>
              <w:t>Název údaje</w:t>
            </w:r>
          </w:p>
        </w:tc>
        <w:tc>
          <w:tcPr>
            <w:tcW w:w="648" w:type="pct"/>
            <w:tcBorders>
              <w:top w:val="single" w:sz="4" w:space="0" w:color="8ED973"/>
              <w:left w:val="nil"/>
              <w:bottom w:val="nil"/>
              <w:right w:val="nil"/>
            </w:tcBorders>
            <w:shd w:val="clear" w:color="4EA72E" w:fill="4EA72E"/>
            <w:noWrap/>
            <w:vAlign w:val="bottom"/>
            <w:hideMark/>
          </w:tcPr>
          <w:p w14:paraId="4A0E9A1E" w14:textId="77777777" w:rsidR="0024586E" w:rsidRPr="00442D99" w:rsidRDefault="0024586E" w:rsidP="009574F4">
            <w:pPr>
              <w:spacing w:after="0"/>
              <w:rPr>
                <w:rFonts w:eastAsia="Times New Roman" w:cs="Calibri"/>
                <w:b/>
                <w:bCs/>
                <w:color w:val="FFFFFF"/>
                <w:sz w:val="20"/>
                <w:szCs w:val="20"/>
                <w:lang w:eastAsia="cs-CZ"/>
              </w:rPr>
            </w:pPr>
            <w:r w:rsidRPr="00442D99">
              <w:rPr>
                <w:rFonts w:eastAsia="Times New Roman" w:cs="Calibri"/>
                <w:b/>
                <w:bCs/>
                <w:color w:val="FFFFFF"/>
                <w:sz w:val="20"/>
                <w:szCs w:val="20"/>
                <w:lang w:eastAsia="cs-CZ"/>
              </w:rPr>
              <w:t>Oblast</w:t>
            </w:r>
          </w:p>
        </w:tc>
        <w:tc>
          <w:tcPr>
            <w:tcW w:w="1191" w:type="pct"/>
            <w:tcBorders>
              <w:top w:val="single" w:sz="4" w:space="0" w:color="8ED973"/>
              <w:left w:val="nil"/>
              <w:bottom w:val="nil"/>
              <w:right w:val="nil"/>
            </w:tcBorders>
            <w:shd w:val="clear" w:color="4EA72E" w:fill="4EA72E"/>
            <w:noWrap/>
            <w:vAlign w:val="bottom"/>
            <w:hideMark/>
          </w:tcPr>
          <w:p w14:paraId="2D3B4857" w14:textId="77777777" w:rsidR="0024586E" w:rsidRPr="00442D99" w:rsidRDefault="0024586E" w:rsidP="009574F4">
            <w:pPr>
              <w:spacing w:after="0"/>
              <w:rPr>
                <w:rFonts w:eastAsia="Times New Roman" w:cs="Calibri"/>
                <w:b/>
                <w:bCs/>
                <w:color w:val="FFFFFF"/>
                <w:sz w:val="20"/>
                <w:szCs w:val="20"/>
                <w:lang w:eastAsia="cs-CZ"/>
              </w:rPr>
            </w:pPr>
            <w:r w:rsidRPr="00442D99">
              <w:rPr>
                <w:rFonts w:eastAsia="Times New Roman" w:cs="Calibri"/>
                <w:b/>
                <w:bCs/>
                <w:color w:val="FFFFFF"/>
                <w:sz w:val="20"/>
                <w:szCs w:val="20"/>
                <w:lang w:eastAsia="cs-CZ"/>
              </w:rPr>
              <w:t>Podoblast</w:t>
            </w:r>
          </w:p>
        </w:tc>
        <w:tc>
          <w:tcPr>
            <w:tcW w:w="541" w:type="pct"/>
            <w:tcBorders>
              <w:top w:val="single" w:sz="4" w:space="0" w:color="8ED973"/>
              <w:left w:val="nil"/>
              <w:bottom w:val="nil"/>
              <w:right w:val="nil"/>
            </w:tcBorders>
            <w:shd w:val="clear" w:color="4EA72E" w:fill="4EA72E"/>
            <w:noWrap/>
            <w:vAlign w:val="bottom"/>
            <w:hideMark/>
          </w:tcPr>
          <w:p w14:paraId="56530A78" w14:textId="77777777" w:rsidR="0024586E" w:rsidRPr="00442D99" w:rsidRDefault="0024586E" w:rsidP="009574F4">
            <w:pPr>
              <w:spacing w:after="0"/>
              <w:rPr>
                <w:rFonts w:eastAsia="Times New Roman" w:cs="Calibri"/>
                <w:b/>
                <w:bCs/>
                <w:color w:val="FFFFFF"/>
                <w:sz w:val="20"/>
                <w:szCs w:val="20"/>
                <w:lang w:eastAsia="cs-CZ"/>
              </w:rPr>
            </w:pPr>
            <w:r w:rsidRPr="00442D99">
              <w:rPr>
                <w:rFonts w:eastAsia="Times New Roman" w:cs="Calibri"/>
                <w:b/>
                <w:bCs/>
                <w:color w:val="FFFFFF"/>
                <w:sz w:val="20"/>
                <w:szCs w:val="20"/>
                <w:lang w:eastAsia="cs-CZ"/>
              </w:rPr>
              <w:t>Stupeň vzdělání</w:t>
            </w:r>
          </w:p>
        </w:tc>
        <w:tc>
          <w:tcPr>
            <w:tcW w:w="241" w:type="pct"/>
            <w:tcBorders>
              <w:top w:val="single" w:sz="4" w:space="0" w:color="8ED973"/>
              <w:left w:val="nil"/>
              <w:bottom w:val="nil"/>
              <w:right w:val="single" w:sz="4" w:space="0" w:color="4EA72E"/>
            </w:tcBorders>
            <w:shd w:val="clear" w:color="4EA72E" w:fill="4EA72E"/>
            <w:noWrap/>
            <w:vAlign w:val="bottom"/>
            <w:hideMark/>
          </w:tcPr>
          <w:p w14:paraId="4AC587C4" w14:textId="77777777" w:rsidR="0024586E" w:rsidRPr="00442D99" w:rsidRDefault="0024586E" w:rsidP="009574F4">
            <w:pPr>
              <w:spacing w:after="0"/>
              <w:rPr>
                <w:rFonts w:eastAsia="Times New Roman" w:cs="Calibri"/>
                <w:b/>
                <w:bCs/>
                <w:color w:val="FFFFFF"/>
                <w:sz w:val="20"/>
                <w:szCs w:val="20"/>
                <w:lang w:eastAsia="cs-CZ"/>
              </w:rPr>
            </w:pPr>
            <w:r w:rsidRPr="00442D99">
              <w:rPr>
                <w:rFonts w:eastAsia="Times New Roman" w:cs="Calibri"/>
                <w:b/>
                <w:bCs/>
                <w:color w:val="FFFFFF"/>
                <w:sz w:val="20"/>
                <w:szCs w:val="20"/>
                <w:lang w:eastAsia="cs-CZ"/>
              </w:rPr>
              <w:t>Pořadí</w:t>
            </w:r>
          </w:p>
        </w:tc>
      </w:tr>
      <w:tr w:rsidR="0024586E" w:rsidRPr="00442D99" w14:paraId="067E96FF" w14:textId="77777777" w:rsidTr="009A58B0">
        <w:trPr>
          <w:trHeight w:val="290"/>
        </w:trPr>
        <w:tc>
          <w:tcPr>
            <w:tcW w:w="2379" w:type="pct"/>
            <w:tcBorders>
              <w:top w:val="single" w:sz="4" w:space="0" w:color="8ED973"/>
              <w:left w:val="single" w:sz="4" w:space="0" w:color="4EA72E"/>
              <w:bottom w:val="nil"/>
              <w:right w:val="nil"/>
            </w:tcBorders>
            <w:hideMark/>
          </w:tcPr>
          <w:p w14:paraId="02D3723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asistenta pedagoga k průměrné mzdě</w:t>
            </w:r>
          </w:p>
        </w:tc>
        <w:tc>
          <w:tcPr>
            <w:tcW w:w="648" w:type="pct"/>
            <w:tcBorders>
              <w:top w:val="single" w:sz="4" w:space="0" w:color="8ED973"/>
              <w:left w:val="nil"/>
              <w:bottom w:val="nil"/>
              <w:right w:val="nil"/>
            </w:tcBorders>
            <w:noWrap/>
            <w:hideMark/>
          </w:tcPr>
          <w:p w14:paraId="04D094F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50EFDFC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Další pedagogické profese/specializace</w:t>
            </w:r>
          </w:p>
        </w:tc>
        <w:tc>
          <w:tcPr>
            <w:tcW w:w="541" w:type="pct"/>
            <w:tcBorders>
              <w:top w:val="single" w:sz="4" w:space="0" w:color="8ED973"/>
              <w:left w:val="nil"/>
              <w:bottom w:val="nil"/>
              <w:right w:val="nil"/>
            </w:tcBorders>
            <w:noWrap/>
            <w:hideMark/>
          </w:tcPr>
          <w:p w14:paraId="1D681B5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 ZŠ, SŠ</w:t>
            </w:r>
          </w:p>
        </w:tc>
        <w:tc>
          <w:tcPr>
            <w:tcW w:w="241" w:type="pct"/>
            <w:tcBorders>
              <w:top w:val="single" w:sz="4" w:space="0" w:color="8ED973"/>
              <w:left w:val="nil"/>
              <w:bottom w:val="nil"/>
              <w:right w:val="single" w:sz="4" w:space="0" w:color="4EA72E"/>
            </w:tcBorders>
            <w:noWrap/>
            <w:hideMark/>
          </w:tcPr>
          <w:p w14:paraId="3DEEA00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06ABF1EC" w14:textId="77777777" w:rsidTr="009A58B0">
        <w:trPr>
          <w:trHeight w:val="290"/>
        </w:trPr>
        <w:tc>
          <w:tcPr>
            <w:tcW w:w="2379" w:type="pct"/>
            <w:tcBorders>
              <w:top w:val="single" w:sz="4" w:space="0" w:color="8ED973"/>
              <w:left w:val="single" w:sz="4" w:space="0" w:color="4EA72E"/>
              <w:bottom w:val="nil"/>
              <w:right w:val="nil"/>
            </w:tcBorders>
            <w:hideMark/>
          </w:tcPr>
          <w:p w14:paraId="417375A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speciálního pedagoga k průměrné mzdě</w:t>
            </w:r>
          </w:p>
        </w:tc>
        <w:tc>
          <w:tcPr>
            <w:tcW w:w="648" w:type="pct"/>
            <w:tcBorders>
              <w:top w:val="single" w:sz="4" w:space="0" w:color="8ED973"/>
              <w:left w:val="nil"/>
              <w:bottom w:val="nil"/>
              <w:right w:val="nil"/>
            </w:tcBorders>
            <w:noWrap/>
            <w:hideMark/>
          </w:tcPr>
          <w:p w14:paraId="05763AC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23BA92D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Další pedagogické profese/specializace</w:t>
            </w:r>
          </w:p>
        </w:tc>
        <w:tc>
          <w:tcPr>
            <w:tcW w:w="541" w:type="pct"/>
            <w:tcBorders>
              <w:top w:val="single" w:sz="4" w:space="0" w:color="8ED973"/>
              <w:left w:val="nil"/>
              <w:bottom w:val="nil"/>
              <w:right w:val="nil"/>
            </w:tcBorders>
            <w:noWrap/>
            <w:hideMark/>
          </w:tcPr>
          <w:p w14:paraId="47A0A0D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 ZŠ, SŠ</w:t>
            </w:r>
          </w:p>
        </w:tc>
        <w:tc>
          <w:tcPr>
            <w:tcW w:w="241" w:type="pct"/>
            <w:tcBorders>
              <w:top w:val="single" w:sz="4" w:space="0" w:color="8ED973"/>
              <w:left w:val="nil"/>
              <w:bottom w:val="nil"/>
              <w:right w:val="single" w:sz="4" w:space="0" w:color="4EA72E"/>
            </w:tcBorders>
            <w:noWrap/>
            <w:hideMark/>
          </w:tcPr>
          <w:p w14:paraId="78483F2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329937E0" w14:textId="77777777" w:rsidTr="009A58B0">
        <w:trPr>
          <w:trHeight w:val="290"/>
        </w:trPr>
        <w:tc>
          <w:tcPr>
            <w:tcW w:w="2379" w:type="pct"/>
            <w:tcBorders>
              <w:top w:val="single" w:sz="4" w:space="0" w:color="8ED973"/>
              <w:left w:val="single" w:sz="4" w:space="0" w:color="4EA72E"/>
              <w:bottom w:val="nil"/>
              <w:right w:val="nil"/>
            </w:tcBorders>
            <w:hideMark/>
          </w:tcPr>
          <w:p w14:paraId="0D6C9F1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úvazků asistenta pedagoga v MŠ na 10 tis. dětí</w:t>
            </w:r>
          </w:p>
        </w:tc>
        <w:tc>
          <w:tcPr>
            <w:tcW w:w="648" w:type="pct"/>
            <w:tcBorders>
              <w:top w:val="single" w:sz="4" w:space="0" w:color="8ED973"/>
              <w:left w:val="nil"/>
              <w:bottom w:val="nil"/>
              <w:right w:val="nil"/>
            </w:tcBorders>
            <w:noWrap/>
            <w:hideMark/>
          </w:tcPr>
          <w:p w14:paraId="1B20CDB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548199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Další pedagogické profese/specializace</w:t>
            </w:r>
          </w:p>
        </w:tc>
        <w:tc>
          <w:tcPr>
            <w:tcW w:w="541" w:type="pct"/>
            <w:tcBorders>
              <w:top w:val="single" w:sz="4" w:space="0" w:color="8ED973"/>
              <w:left w:val="nil"/>
              <w:bottom w:val="nil"/>
              <w:right w:val="nil"/>
            </w:tcBorders>
            <w:noWrap/>
            <w:hideMark/>
          </w:tcPr>
          <w:p w14:paraId="0AFC451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0AF34B3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15F722F7" w14:textId="77777777" w:rsidTr="009A58B0">
        <w:trPr>
          <w:trHeight w:val="520"/>
        </w:trPr>
        <w:tc>
          <w:tcPr>
            <w:tcW w:w="2379" w:type="pct"/>
            <w:tcBorders>
              <w:top w:val="single" w:sz="4" w:space="0" w:color="8ED973"/>
              <w:left w:val="single" w:sz="4" w:space="0" w:color="4EA72E"/>
              <w:bottom w:val="nil"/>
              <w:right w:val="nil"/>
            </w:tcBorders>
            <w:hideMark/>
          </w:tcPr>
          <w:p w14:paraId="3B015D6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skupiny nepedagogických pracovníků MŠ k průměrné mzdě</w:t>
            </w:r>
          </w:p>
        </w:tc>
        <w:tc>
          <w:tcPr>
            <w:tcW w:w="648" w:type="pct"/>
            <w:tcBorders>
              <w:top w:val="single" w:sz="4" w:space="0" w:color="8ED973"/>
              <w:left w:val="nil"/>
              <w:bottom w:val="nil"/>
              <w:right w:val="nil"/>
            </w:tcBorders>
            <w:noWrap/>
            <w:hideMark/>
          </w:tcPr>
          <w:p w14:paraId="3E67ECE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33F899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Nepedagogické profese</w:t>
            </w:r>
          </w:p>
        </w:tc>
        <w:tc>
          <w:tcPr>
            <w:tcW w:w="541" w:type="pct"/>
            <w:tcBorders>
              <w:top w:val="single" w:sz="4" w:space="0" w:color="8ED973"/>
              <w:left w:val="nil"/>
              <w:bottom w:val="nil"/>
              <w:right w:val="nil"/>
            </w:tcBorders>
            <w:noWrap/>
            <w:hideMark/>
          </w:tcPr>
          <w:p w14:paraId="63373AB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58D59D0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2744ACC1" w14:textId="77777777" w:rsidTr="009A58B0">
        <w:trPr>
          <w:trHeight w:val="520"/>
        </w:trPr>
        <w:tc>
          <w:tcPr>
            <w:tcW w:w="2379" w:type="pct"/>
            <w:tcBorders>
              <w:top w:val="single" w:sz="4" w:space="0" w:color="8ED973"/>
              <w:left w:val="single" w:sz="4" w:space="0" w:color="4EA72E"/>
              <w:bottom w:val="nil"/>
              <w:right w:val="nil"/>
            </w:tcBorders>
            <w:hideMark/>
          </w:tcPr>
          <w:p w14:paraId="4505216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skupiny nepedagogických pracovníků v ZŠ k průměrné mzdě</w:t>
            </w:r>
          </w:p>
        </w:tc>
        <w:tc>
          <w:tcPr>
            <w:tcW w:w="648" w:type="pct"/>
            <w:tcBorders>
              <w:top w:val="single" w:sz="4" w:space="0" w:color="8ED973"/>
              <w:left w:val="nil"/>
              <w:bottom w:val="nil"/>
              <w:right w:val="nil"/>
            </w:tcBorders>
            <w:noWrap/>
            <w:hideMark/>
          </w:tcPr>
          <w:p w14:paraId="70DED3F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2F7788D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Nepedagogické profese</w:t>
            </w:r>
          </w:p>
        </w:tc>
        <w:tc>
          <w:tcPr>
            <w:tcW w:w="541" w:type="pct"/>
            <w:tcBorders>
              <w:top w:val="single" w:sz="4" w:space="0" w:color="8ED973"/>
              <w:left w:val="nil"/>
              <w:bottom w:val="nil"/>
              <w:right w:val="nil"/>
            </w:tcBorders>
            <w:noWrap/>
            <w:hideMark/>
          </w:tcPr>
          <w:p w14:paraId="17CAA58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43C458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10937158" w14:textId="77777777" w:rsidTr="009A58B0">
        <w:trPr>
          <w:trHeight w:val="290"/>
        </w:trPr>
        <w:tc>
          <w:tcPr>
            <w:tcW w:w="2379" w:type="pct"/>
            <w:tcBorders>
              <w:top w:val="single" w:sz="4" w:space="0" w:color="8ED973"/>
              <w:left w:val="single" w:sz="4" w:space="0" w:color="4EA72E"/>
              <w:bottom w:val="nil"/>
              <w:right w:val="nil"/>
            </w:tcBorders>
            <w:hideMark/>
          </w:tcPr>
          <w:p w14:paraId="10A437F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skupiny nepedagogických pracovníků SŠ k průměrné mzdě</w:t>
            </w:r>
          </w:p>
        </w:tc>
        <w:tc>
          <w:tcPr>
            <w:tcW w:w="648" w:type="pct"/>
            <w:tcBorders>
              <w:top w:val="single" w:sz="4" w:space="0" w:color="8ED973"/>
              <w:left w:val="nil"/>
              <w:bottom w:val="nil"/>
              <w:right w:val="nil"/>
            </w:tcBorders>
            <w:noWrap/>
            <w:hideMark/>
          </w:tcPr>
          <w:p w14:paraId="0704B08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59F475F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Nepedagogické profese</w:t>
            </w:r>
          </w:p>
        </w:tc>
        <w:tc>
          <w:tcPr>
            <w:tcW w:w="541" w:type="pct"/>
            <w:tcBorders>
              <w:top w:val="single" w:sz="4" w:space="0" w:color="8ED973"/>
              <w:left w:val="nil"/>
              <w:bottom w:val="nil"/>
              <w:right w:val="nil"/>
            </w:tcBorders>
            <w:noWrap/>
            <w:hideMark/>
          </w:tcPr>
          <w:p w14:paraId="125F7A6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73E76ED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5F366537" w14:textId="77777777" w:rsidTr="009A58B0">
        <w:trPr>
          <w:trHeight w:val="290"/>
        </w:trPr>
        <w:tc>
          <w:tcPr>
            <w:tcW w:w="2379" w:type="pct"/>
            <w:tcBorders>
              <w:top w:val="single" w:sz="4" w:space="0" w:color="8ED973"/>
              <w:left w:val="single" w:sz="4" w:space="0" w:color="4EA72E"/>
              <w:bottom w:val="nil"/>
              <w:right w:val="nil"/>
            </w:tcBorders>
            <w:hideMark/>
          </w:tcPr>
          <w:p w14:paraId="036FE49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úvazků skupiny nepedagogických zaměstnanců v SŠ na 10 tis. žáků</w:t>
            </w:r>
          </w:p>
        </w:tc>
        <w:tc>
          <w:tcPr>
            <w:tcW w:w="648" w:type="pct"/>
            <w:tcBorders>
              <w:top w:val="single" w:sz="4" w:space="0" w:color="8ED973"/>
              <w:left w:val="nil"/>
              <w:bottom w:val="nil"/>
              <w:right w:val="nil"/>
            </w:tcBorders>
            <w:noWrap/>
            <w:hideMark/>
          </w:tcPr>
          <w:p w14:paraId="76A1EB8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3CD525A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Nepedagogické profese</w:t>
            </w:r>
          </w:p>
        </w:tc>
        <w:tc>
          <w:tcPr>
            <w:tcW w:w="541" w:type="pct"/>
            <w:tcBorders>
              <w:top w:val="single" w:sz="4" w:space="0" w:color="8ED973"/>
              <w:left w:val="nil"/>
              <w:bottom w:val="nil"/>
              <w:right w:val="nil"/>
            </w:tcBorders>
            <w:noWrap/>
            <w:hideMark/>
          </w:tcPr>
          <w:p w14:paraId="58127DD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58736D5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315B1F7F" w14:textId="77777777" w:rsidTr="009A58B0">
        <w:trPr>
          <w:trHeight w:val="290"/>
        </w:trPr>
        <w:tc>
          <w:tcPr>
            <w:tcW w:w="2379" w:type="pct"/>
            <w:tcBorders>
              <w:top w:val="single" w:sz="4" w:space="0" w:color="8ED973"/>
              <w:left w:val="single" w:sz="4" w:space="0" w:color="4EA72E"/>
              <w:bottom w:val="nil"/>
              <w:right w:val="nil"/>
            </w:tcBorders>
            <w:hideMark/>
          </w:tcPr>
          <w:p w14:paraId="44D5DB2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učitele ve veřejné MŠ k průměrné mzdě</w:t>
            </w:r>
          </w:p>
        </w:tc>
        <w:tc>
          <w:tcPr>
            <w:tcW w:w="648" w:type="pct"/>
            <w:tcBorders>
              <w:top w:val="single" w:sz="4" w:space="0" w:color="8ED973"/>
              <w:left w:val="nil"/>
              <w:bottom w:val="nil"/>
              <w:right w:val="nil"/>
            </w:tcBorders>
            <w:noWrap/>
            <w:hideMark/>
          </w:tcPr>
          <w:p w14:paraId="5B46324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2F039AF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385CF96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61D7DD8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21CB626F" w14:textId="77777777" w:rsidTr="009A58B0">
        <w:trPr>
          <w:trHeight w:val="290"/>
        </w:trPr>
        <w:tc>
          <w:tcPr>
            <w:tcW w:w="2379" w:type="pct"/>
            <w:tcBorders>
              <w:top w:val="single" w:sz="4" w:space="0" w:color="8ED973"/>
              <w:left w:val="single" w:sz="4" w:space="0" w:color="4EA72E"/>
              <w:bottom w:val="nil"/>
              <w:right w:val="nil"/>
            </w:tcBorders>
            <w:hideMark/>
          </w:tcPr>
          <w:p w14:paraId="0FD42A9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učitele ve veřejné ZŠ k průměrné mzdě</w:t>
            </w:r>
          </w:p>
        </w:tc>
        <w:tc>
          <w:tcPr>
            <w:tcW w:w="648" w:type="pct"/>
            <w:tcBorders>
              <w:top w:val="single" w:sz="4" w:space="0" w:color="8ED973"/>
              <w:left w:val="nil"/>
              <w:bottom w:val="nil"/>
              <w:right w:val="nil"/>
            </w:tcBorders>
            <w:noWrap/>
            <w:hideMark/>
          </w:tcPr>
          <w:p w14:paraId="5972F2C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29D92CF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0B9EC3B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64C62D7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4C50AC47" w14:textId="77777777" w:rsidTr="009A58B0">
        <w:trPr>
          <w:trHeight w:val="290"/>
        </w:trPr>
        <w:tc>
          <w:tcPr>
            <w:tcW w:w="2379" w:type="pct"/>
            <w:tcBorders>
              <w:top w:val="single" w:sz="4" w:space="0" w:color="8ED973"/>
              <w:left w:val="single" w:sz="4" w:space="0" w:color="4EA72E"/>
              <w:bottom w:val="nil"/>
              <w:right w:val="nil"/>
            </w:tcBorders>
            <w:hideMark/>
          </w:tcPr>
          <w:p w14:paraId="128C103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plat učitele ve veřejné SŠ k průměrné mzdě</w:t>
            </w:r>
          </w:p>
        </w:tc>
        <w:tc>
          <w:tcPr>
            <w:tcW w:w="648" w:type="pct"/>
            <w:tcBorders>
              <w:top w:val="single" w:sz="4" w:space="0" w:color="8ED973"/>
              <w:left w:val="nil"/>
              <w:bottom w:val="nil"/>
              <w:right w:val="nil"/>
            </w:tcBorders>
            <w:noWrap/>
            <w:hideMark/>
          </w:tcPr>
          <w:p w14:paraId="2258052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25CA487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5C4BBA6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603AD6D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4ED0AD5B" w14:textId="77777777" w:rsidTr="009A58B0">
        <w:trPr>
          <w:trHeight w:val="290"/>
        </w:trPr>
        <w:tc>
          <w:tcPr>
            <w:tcW w:w="2379" w:type="pct"/>
            <w:tcBorders>
              <w:top w:val="single" w:sz="4" w:space="0" w:color="8ED973"/>
              <w:left w:val="single" w:sz="4" w:space="0" w:color="4EA72E"/>
              <w:bottom w:val="nil"/>
              <w:right w:val="nil"/>
            </w:tcBorders>
            <w:hideMark/>
          </w:tcPr>
          <w:p w14:paraId="4DEE062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 xml:space="preserve">Podíl nekvalifikovaných učitelů </w:t>
            </w:r>
          </w:p>
        </w:tc>
        <w:tc>
          <w:tcPr>
            <w:tcW w:w="648" w:type="pct"/>
            <w:tcBorders>
              <w:top w:val="single" w:sz="4" w:space="0" w:color="8ED973"/>
              <w:left w:val="nil"/>
              <w:bottom w:val="nil"/>
              <w:right w:val="nil"/>
            </w:tcBorders>
            <w:noWrap/>
            <w:hideMark/>
          </w:tcPr>
          <w:p w14:paraId="3F6E97E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10C73AD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4627FDA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 ZŠ, SŠ</w:t>
            </w:r>
          </w:p>
        </w:tc>
        <w:tc>
          <w:tcPr>
            <w:tcW w:w="241" w:type="pct"/>
            <w:tcBorders>
              <w:top w:val="single" w:sz="4" w:space="0" w:color="8ED973"/>
              <w:left w:val="nil"/>
              <w:bottom w:val="nil"/>
              <w:right w:val="single" w:sz="4" w:space="0" w:color="4EA72E"/>
            </w:tcBorders>
            <w:noWrap/>
            <w:hideMark/>
          </w:tcPr>
          <w:p w14:paraId="0739C89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3FFA99C0" w14:textId="77777777" w:rsidTr="009A58B0">
        <w:trPr>
          <w:trHeight w:val="290"/>
        </w:trPr>
        <w:tc>
          <w:tcPr>
            <w:tcW w:w="2379" w:type="pct"/>
            <w:tcBorders>
              <w:top w:val="single" w:sz="4" w:space="0" w:color="8ED973"/>
              <w:left w:val="single" w:sz="4" w:space="0" w:color="4EA72E"/>
              <w:bottom w:val="nil"/>
              <w:right w:val="nil"/>
            </w:tcBorders>
            <w:hideMark/>
          </w:tcPr>
          <w:p w14:paraId="369762D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nekvalifikovaných učitelů 2. st. ZŠ</w:t>
            </w:r>
          </w:p>
        </w:tc>
        <w:tc>
          <w:tcPr>
            <w:tcW w:w="648" w:type="pct"/>
            <w:tcBorders>
              <w:top w:val="single" w:sz="4" w:space="0" w:color="8ED973"/>
              <w:left w:val="nil"/>
              <w:bottom w:val="nil"/>
              <w:right w:val="nil"/>
            </w:tcBorders>
            <w:noWrap/>
            <w:hideMark/>
          </w:tcPr>
          <w:p w14:paraId="68B873D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07415B8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7161CC2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4FE2844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4903237B" w14:textId="77777777" w:rsidTr="009A58B0">
        <w:trPr>
          <w:trHeight w:val="290"/>
        </w:trPr>
        <w:tc>
          <w:tcPr>
            <w:tcW w:w="2379" w:type="pct"/>
            <w:tcBorders>
              <w:top w:val="single" w:sz="4" w:space="0" w:color="8ED973"/>
              <w:left w:val="single" w:sz="4" w:space="0" w:color="4EA72E"/>
              <w:bottom w:val="nil"/>
              <w:right w:val="nil"/>
            </w:tcBorders>
            <w:hideMark/>
          </w:tcPr>
          <w:p w14:paraId="0BE9266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žáků na učitele v SŠ běžných zřizovaných krajem</w:t>
            </w:r>
          </w:p>
        </w:tc>
        <w:tc>
          <w:tcPr>
            <w:tcW w:w="648" w:type="pct"/>
            <w:tcBorders>
              <w:top w:val="single" w:sz="4" w:space="0" w:color="8ED973"/>
              <w:left w:val="nil"/>
              <w:bottom w:val="nil"/>
              <w:right w:val="nil"/>
            </w:tcBorders>
            <w:noWrap/>
            <w:hideMark/>
          </w:tcPr>
          <w:p w14:paraId="0A740EF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216F251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3FEF043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4F81FE3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1F36E937" w14:textId="77777777" w:rsidTr="009A58B0">
        <w:trPr>
          <w:trHeight w:val="290"/>
        </w:trPr>
        <w:tc>
          <w:tcPr>
            <w:tcW w:w="2379" w:type="pct"/>
            <w:tcBorders>
              <w:top w:val="single" w:sz="4" w:space="0" w:color="8ED973"/>
              <w:left w:val="single" w:sz="4" w:space="0" w:color="4EA72E"/>
              <w:bottom w:val="nil"/>
              <w:right w:val="nil"/>
            </w:tcBorders>
            <w:hideMark/>
          </w:tcPr>
          <w:p w14:paraId="1874FDC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nekvalifikovaných učitelů 1. st. ZŠ</w:t>
            </w:r>
          </w:p>
        </w:tc>
        <w:tc>
          <w:tcPr>
            <w:tcW w:w="648" w:type="pct"/>
            <w:tcBorders>
              <w:top w:val="single" w:sz="4" w:space="0" w:color="8ED973"/>
              <w:left w:val="nil"/>
              <w:bottom w:val="nil"/>
              <w:right w:val="nil"/>
            </w:tcBorders>
            <w:noWrap/>
            <w:hideMark/>
          </w:tcPr>
          <w:p w14:paraId="5B396C5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44FD979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4FADB48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5F47B9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1EA6456C" w14:textId="77777777" w:rsidTr="009A58B0">
        <w:trPr>
          <w:trHeight w:val="290"/>
        </w:trPr>
        <w:tc>
          <w:tcPr>
            <w:tcW w:w="2379" w:type="pct"/>
            <w:tcBorders>
              <w:top w:val="single" w:sz="4" w:space="0" w:color="8ED973"/>
              <w:left w:val="single" w:sz="4" w:space="0" w:color="4EA72E"/>
              <w:bottom w:val="nil"/>
              <w:right w:val="nil"/>
            </w:tcBorders>
            <w:hideMark/>
          </w:tcPr>
          <w:p w14:paraId="189D98C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žáků na učitele v ZŠ běžných zřizovaných obcí</w:t>
            </w:r>
          </w:p>
        </w:tc>
        <w:tc>
          <w:tcPr>
            <w:tcW w:w="648" w:type="pct"/>
            <w:tcBorders>
              <w:top w:val="single" w:sz="4" w:space="0" w:color="8ED973"/>
              <w:left w:val="nil"/>
              <w:bottom w:val="nil"/>
              <w:right w:val="nil"/>
            </w:tcBorders>
            <w:noWrap/>
            <w:hideMark/>
          </w:tcPr>
          <w:p w14:paraId="70FAF42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Pracovníci ve školství</w:t>
            </w:r>
          </w:p>
        </w:tc>
        <w:tc>
          <w:tcPr>
            <w:tcW w:w="1191" w:type="pct"/>
            <w:tcBorders>
              <w:top w:val="single" w:sz="4" w:space="0" w:color="8ED973"/>
              <w:left w:val="nil"/>
              <w:bottom w:val="nil"/>
              <w:right w:val="nil"/>
            </w:tcBorders>
            <w:noWrap/>
            <w:hideMark/>
          </w:tcPr>
          <w:p w14:paraId="6675E25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Učitelé</w:t>
            </w:r>
          </w:p>
        </w:tc>
        <w:tc>
          <w:tcPr>
            <w:tcW w:w="541" w:type="pct"/>
            <w:tcBorders>
              <w:top w:val="single" w:sz="4" w:space="0" w:color="8ED973"/>
              <w:left w:val="nil"/>
              <w:bottom w:val="nil"/>
              <w:right w:val="nil"/>
            </w:tcBorders>
            <w:noWrap/>
            <w:hideMark/>
          </w:tcPr>
          <w:p w14:paraId="53794A2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6F1F4BA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2999CD14" w14:textId="77777777" w:rsidTr="009A58B0">
        <w:trPr>
          <w:trHeight w:val="290"/>
        </w:trPr>
        <w:tc>
          <w:tcPr>
            <w:tcW w:w="2379" w:type="pct"/>
            <w:tcBorders>
              <w:top w:val="single" w:sz="4" w:space="0" w:color="8ED973"/>
              <w:left w:val="single" w:sz="4" w:space="0" w:color="4EA72E"/>
              <w:bottom w:val="nil"/>
              <w:right w:val="nil"/>
            </w:tcBorders>
            <w:hideMark/>
          </w:tcPr>
          <w:p w14:paraId="6BC20E8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MŠ zřizovaných dobrovolným svazkem obcí</w:t>
            </w:r>
          </w:p>
        </w:tc>
        <w:tc>
          <w:tcPr>
            <w:tcW w:w="648" w:type="pct"/>
            <w:tcBorders>
              <w:top w:val="single" w:sz="4" w:space="0" w:color="8ED973"/>
              <w:left w:val="nil"/>
              <w:bottom w:val="nil"/>
              <w:right w:val="nil"/>
            </w:tcBorders>
            <w:noWrap/>
            <w:hideMark/>
          </w:tcPr>
          <w:p w14:paraId="0EB4707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Školy a zřizovatelé</w:t>
            </w:r>
          </w:p>
        </w:tc>
        <w:tc>
          <w:tcPr>
            <w:tcW w:w="1191" w:type="pct"/>
            <w:tcBorders>
              <w:top w:val="single" w:sz="4" w:space="0" w:color="8ED973"/>
              <w:left w:val="nil"/>
              <w:bottom w:val="nil"/>
              <w:right w:val="nil"/>
            </w:tcBorders>
            <w:noWrap/>
            <w:hideMark/>
          </w:tcPr>
          <w:p w14:paraId="3B4C59A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Zřizovatelé</w:t>
            </w:r>
          </w:p>
        </w:tc>
        <w:tc>
          <w:tcPr>
            <w:tcW w:w="541" w:type="pct"/>
            <w:tcBorders>
              <w:top w:val="single" w:sz="4" w:space="0" w:color="8ED973"/>
              <w:left w:val="nil"/>
              <w:bottom w:val="nil"/>
              <w:right w:val="nil"/>
            </w:tcBorders>
            <w:noWrap/>
            <w:hideMark/>
          </w:tcPr>
          <w:p w14:paraId="7B1756B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4967AE6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0664FA2D" w14:textId="77777777" w:rsidTr="009A58B0">
        <w:trPr>
          <w:trHeight w:val="290"/>
        </w:trPr>
        <w:tc>
          <w:tcPr>
            <w:tcW w:w="2379" w:type="pct"/>
            <w:tcBorders>
              <w:top w:val="single" w:sz="4" w:space="0" w:color="8ED973"/>
              <w:left w:val="single" w:sz="4" w:space="0" w:color="4EA72E"/>
              <w:bottom w:val="nil"/>
              <w:right w:val="nil"/>
            </w:tcBorders>
            <w:hideMark/>
          </w:tcPr>
          <w:p w14:paraId="0C5D4C3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lastRenderedPageBreak/>
              <w:t>Počet ZŠ zřizovaných dobrovolným svazkem obcí</w:t>
            </w:r>
          </w:p>
        </w:tc>
        <w:tc>
          <w:tcPr>
            <w:tcW w:w="648" w:type="pct"/>
            <w:tcBorders>
              <w:top w:val="single" w:sz="4" w:space="0" w:color="8ED973"/>
              <w:left w:val="nil"/>
              <w:bottom w:val="nil"/>
              <w:right w:val="nil"/>
            </w:tcBorders>
            <w:noWrap/>
            <w:hideMark/>
          </w:tcPr>
          <w:p w14:paraId="724091B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Školy a zřizovatelé</w:t>
            </w:r>
          </w:p>
        </w:tc>
        <w:tc>
          <w:tcPr>
            <w:tcW w:w="1191" w:type="pct"/>
            <w:tcBorders>
              <w:top w:val="single" w:sz="4" w:space="0" w:color="8ED973"/>
              <w:left w:val="nil"/>
              <w:bottom w:val="nil"/>
              <w:right w:val="nil"/>
            </w:tcBorders>
            <w:noWrap/>
            <w:hideMark/>
          </w:tcPr>
          <w:p w14:paraId="322245B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Zřizovatelé</w:t>
            </w:r>
          </w:p>
        </w:tc>
        <w:tc>
          <w:tcPr>
            <w:tcW w:w="541" w:type="pct"/>
            <w:tcBorders>
              <w:top w:val="single" w:sz="4" w:space="0" w:color="8ED973"/>
              <w:left w:val="nil"/>
              <w:bottom w:val="nil"/>
              <w:right w:val="nil"/>
            </w:tcBorders>
            <w:noWrap/>
            <w:hideMark/>
          </w:tcPr>
          <w:p w14:paraId="67D92E4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11D07D5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33A0AFE1" w14:textId="77777777" w:rsidTr="009A58B0">
        <w:trPr>
          <w:trHeight w:val="290"/>
        </w:trPr>
        <w:tc>
          <w:tcPr>
            <w:tcW w:w="2379" w:type="pct"/>
            <w:tcBorders>
              <w:top w:val="single" w:sz="4" w:space="0" w:color="8ED973"/>
              <w:left w:val="single" w:sz="4" w:space="0" w:color="4EA72E"/>
              <w:bottom w:val="nil"/>
              <w:right w:val="nil"/>
            </w:tcBorders>
            <w:hideMark/>
          </w:tcPr>
          <w:p w14:paraId="6ADE511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 a žáků vzdělávajících se v neveřejných školách</w:t>
            </w:r>
          </w:p>
        </w:tc>
        <w:tc>
          <w:tcPr>
            <w:tcW w:w="648" w:type="pct"/>
            <w:tcBorders>
              <w:top w:val="single" w:sz="4" w:space="0" w:color="8ED973"/>
              <w:left w:val="nil"/>
              <w:bottom w:val="nil"/>
              <w:right w:val="nil"/>
            </w:tcBorders>
            <w:noWrap/>
            <w:hideMark/>
          </w:tcPr>
          <w:p w14:paraId="6DD9906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Školy a zřizovatelé</w:t>
            </w:r>
          </w:p>
        </w:tc>
        <w:tc>
          <w:tcPr>
            <w:tcW w:w="1191" w:type="pct"/>
            <w:tcBorders>
              <w:top w:val="single" w:sz="4" w:space="0" w:color="8ED973"/>
              <w:left w:val="nil"/>
              <w:bottom w:val="nil"/>
              <w:right w:val="nil"/>
            </w:tcBorders>
            <w:noWrap/>
            <w:hideMark/>
          </w:tcPr>
          <w:p w14:paraId="4E86CB4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Zřizovatelé</w:t>
            </w:r>
          </w:p>
        </w:tc>
        <w:tc>
          <w:tcPr>
            <w:tcW w:w="541" w:type="pct"/>
            <w:tcBorders>
              <w:top w:val="single" w:sz="4" w:space="0" w:color="8ED973"/>
              <w:left w:val="nil"/>
              <w:bottom w:val="nil"/>
              <w:right w:val="nil"/>
            </w:tcBorders>
            <w:noWrap/>
            <w:hideMark/>
          </w:tcPr>
          <w:p w14:paraId="2430BA8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 ZŠ, SŠ</w:t>
            </w:r>
          </w:p>
        </w:tc>
        <w:tc>
          <w:tcPr>
            <w:tcW w:w="241" w:type="pct"/>
            <w:tcBorders>
              <w:top w:val="single" w:sz="4" w:space="0" w:color="8ED973"/>
              <w:left w:val="nil"/>
              <w:bottom w:val="nil"/>
              <w:right w:val="single" w:sz="4" w:space="0" w:color="4EA72E"/>
            </w:tcBorders>
            <w:noWrap/>
            <w:hideMark/>
          </w:tcPr>
          <w:p w14:paraId="7C71C50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00EC8830" w14:textId="77777777" w:rsidTr="009A58B0">
        <w:trPr>
          <w:trHeight w:val="290"/>
        </w:trPr>
        <w:tc>
          <w:tcPr>
            <w:tcW w:w="2379" w:type="pct"/>
            <w:tcBorders>
              <w:top w:val="single" w:sz="4" w:space="0" w:color="8ED973"/>
              <w:left w:val="single" w:sz="4" w:space="0" w:color="4EA72E"/>
              <w:bottom w:val="nil"/>
              <w:right w:val="nil"/>
            </w:tcBorders>
            <w:hideMark/>
          </w:tcPr>
          <w:p w14:paraId="36881AD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vzdělávajících se v neveřejných SŠ</w:t>
            </w:r>
          </w:p>
        </w:tc>
        <w:tc>
          <w:tcPr>
            <w:tcW w:w="648" w:type="pct"/>
            <w:tcBorders>
              <w:top w:val="single" w:sz="4" w:space="0" w:color="8ED973"/>
              <w:left w:val="nil"/>
              <w:bottom w:val="nil"/>
              <w:right w:val="nil"/>
            </w:tcBorders>
            <w:noWrap/>
            <w:hideMark/>
          </w:tcPr>
          <w:p w14:paraId="1E7A644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Školy a zřizovatelé</w:t>
            </w:r>
          </w:p>
        </w:tc>
        <w:tc>
          <w:tcPr>
            <w:tcW w:w="1191" w:type="pct"/>
            <w:tcBorders>
              <w:top w:val="single" w:sz="4" w:space="0" w:color="8ED973"/>
              <w:left w:val="nil"/>
              <w:bottom w:val="nil"/>
              <w:right w:val="nil"/>
            </w:tcBorders>
            <w:noWrap/>
            <w:hideMark/>
          </w:tcPr>
          <w:p w14:paraId="5864C34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Zřizovatelé</w:t>
            </w:r>
          </w:p>
        </w:tc>
        <w:tc>
          <w:tcPr>
            <w:tcW w:w="541" w:type="pct"/>
            <w:tcBorders>
              <w:top w:val="single" w:sz="4" w:space="0" w:color="8ED973"/>
              <w:left w:val="nil"/>
              <w:bottom w:val="nil"/>
              <w:right w:val="nil"/>
            </w:tcBorders>
            <w:noWrap/>
            <w:hideMark/>
          </w:tcPr>
          <w:p w14:paraId="2CA4D82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4B04598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295F5991" w14:textId="77777777" w:rsidTr="009A58B0">
        <w:trPr>
          <w:trHeight w:val="520"/>
        </w:trPr>
        <w:tc>
          <w:tcPr>
            <w:tcW w:w="2379" w:type="pct"/>
            <w:tcBorders>
              <w:top w:val="single" w:sz="4" w:space="0" w:color="8ED973"/>
              <w:left w:val="single" w:sz="4" w:space="0" w:color="4EA72E"/>
              <w:bottom w:val="nil"/>
              <w:right w:val="nil"/>
            </w:tcBorders>
            <w:hideMark/>
          </w:tcPr>
          <w:p w14:paraId="0D31469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absolventů středního vzdělávání v oborech bez výučního listu a maturity v</w:t>
            </w:r>
            <w:r>
              <w:rPr>
                <w:rFonts w:eastAsia="Times New Roman" w:cs="Calibri"/>
                <w:color w:val="000000"/>
                <w:sz w:val="20"/>
                <w:szCs w:val="20"/>
                <w:lang w:eastAsia="cs-CZ"/>
              </w:rPr>
              <w:t> </w:t>
            </w:r>
            <w:r w:rsidRPr="00442D99">
              <w:rPr>
                <w:rFonts w:eastAsia="Times New Roman" w:cs="Calibri"/>
                <w:color w:val="000000"/>
                <w:sz w:val="20"/>
                <w:szCs w:val="20"/>
                <w:lang w:eastAsia="cs-CZ"/>
              </w:rPr>
              <w:t>denní formě vzdělávání</w:t>
            </w:r>
          </w:p>
        </w:tc>
        <w:tc>
          <w:tcPr>
            <w:tcW w:w="648" w:type="pct"/>
            <w:tcBorders>
              <w:top w:val="single" w:sz="4" w:space="0" w:color="8ED973"/>
              <w:left w:val="nil"/>
              <w:bottom w:val="nil"/>
              <w:right w:val="nil"/>
            </w:tcBorders>
            <w:noWrap/>
            <w:hideMark/>
          </w:tcPr>
          <w:p w14:paraId="366F098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5CCDFF4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Absolventi</w:t>
            </w:r>
          </w:p>
        </w:tc>
        <w:tc>
          <w:tcPr>
            <w:tcW w:w="541" w:type="pct"/>
            <w:tcBorders>
              <w:top w:val="single" w:sz="4" w:space="0" w:color="8ED973"/>
              <w:left w:val="nil"/>
              <w:bottom w:val="nil"/>
              <w:right w:val="nil"/>
            </w:tcBorders>
            <w:noWrap/>
            <w:hideMark/>
          </w:tcPr>
          <w:p w14:paraId="65C7775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303982E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05FB8E66" w14:textId="77777777" w:rsidTr="009A58B0">
        <w:trPr>
          <w:trHeight w:val="520"/>
        </w:trPr>
        <w:tc>
          <w:tcPr>
            <w:tcW w:w="2379" w:type="pct"/>
            <w:tcBorders>
              <w:top w:val="single" w:sz="4" w:space="0" w:color="8ED973"/>
              <w:left w:val="single" w:sz="4" w:space="0" w:color="4EA72E"/>
              <w:bottom w:val="nil"/>
              <w:right w:val="nil"/>
            </w:tcBorders>
            <w:hideMark/>
          </w:tcPr>
          <w:p w14:paraId="49FBE95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absolventů středního vzdělávání s výučním listem v denní formě vzdělávání</w:t>
            </w:r>
          </w:p>
        </w:tc>
        <w:tc>
          <w:tcPr>
            <w:tcW w:w="648" w:type="pct"/>
            <w:tcBorders>
              <w:top w:val="single" w:sz="4" w:space="0" w:color="8ED973"/>
              <w:left w:val="nil"/>
              <w:bottom w:val="nil"/>
              <w:right w:val="nil"/>
            </w:tcBorders>
            <w:noWrap/>
            <w:hideMark/>
          </w:tcPr>
          <w:p w14:paraId="60347EE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58F485B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Absolventi</w:t>
            </w:r>
          </w:p>
        </w:tc>
        <w:tc>
          <w:tcPr>
            <w:tcW w:w="541" w:type="pct"/>
            <w:tcBorders>
              <w:top w:val="single" w:sz="4" w:space="0" w:color="8ED973"/>
              <w:left w:val="nil"/>
              <w:bottom w:val="nil"/>
              <w:right w:val="nil"/>
            </w:tcBorders>
            <w:noWrap/>
            <w:hideMark/>
          </w:tcPr>
          <w:p w14:paraId="37BB4AC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273060B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4EF6468E" w14:textId="77777777" w:rsidTr="009A58B0">
        <w:trPr>
          <w:trHeight w:val="520"/>
        </w:trPr>
        <w:tc>
          <w:tcPr>
            <w:tcW w:w="2379" w:type="pct"/>
            <w:tcBorders>
              <w:top w:val="single" w:sz="4" w:space="0" w:color="8ED973"/>
              <w:left w:val="single" w:sz="4" w:space="0" w:color="4EA72E"/>
              <w:bottom w:val="nil"/>
              <w:right w:val="nil"/>
            </w:tcBorders>
            <w:hideMark/>
          </w:tcPr>
          <w:p w14:paraId="1E9295D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absolventů středního vzdělávání s maturitní zkouškou v negymnaziálních oborech v denní formě vzdělávání</w:t>
            </w:r>
          </w:p>
        </w:tc>
        <w:tc>
          <w:tcPr>
            <w:tcW w:w="648" w:type="pct"/>
            <w:tcBorders>
              <w:top w:val="single" w:sz="4" w:space="0" w:color="8ED973"/>
              <w:left w:val="nil"/>
              <w:bottom w:val="nil"/>
              <w:right w:val="nil"/>
            </w:tcBorders>
            <w:noWrap/>
            <w:hideMark/>
          </w:tcPr>
          <w:p w14:paraId="788AB76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7CAA34D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Absolventi</w:t>
            </w:r>
          </w:p>
        </w:tc>
        <w:tc>
          <w:tcPr>
            <w:tcW w:w="541" w:type="pct"/>
            <w:tcBorders>
              <w:top w:val="single" w:sz="4" w:space="0" w:color="8ED973"/>
              <w:left w:val="nil"/>
              <w:bottom w:val="nil"/>
              <w:right w:val="nil"/>
            </w:tcBorders>
            <w:noWrap/>
            <w:hideMark/>
          </w:tcPr>
          <w:p w14:paraId="28BA214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079A8BE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0E7325B1" w14:textId="77777777" w:rsidTr="009A58B0">
        <w:trPr>
          <w:trHeight w:val="520"/>
        </w:trPr>
        <w:tc>
          <w:tcPr>
            <w:tcW w:w="2379" w:type="pct"/>
            <w:tcBorders>
              <w:top w:val="single" w:sz="4" w:space="0" w:color="8ED973"/>
              <w:left w:val="single" w:sz="4" w:space="0" w:color="4EA72E"/>
              <w:bottom w:val="nil"/>
              <w:right w:val="nil"/>
            </w:tcBorders>
            <w:hideMark/>
          </w:tcPr>
          <w:p w14:paraId="58FD986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nově přijatých žáků do 1. ročníku středního vzdělávání s výučním listem v</w:t>
            </w:r>
            <w:r>
              <w:rPr>
                <w:rFonts w:eastAsia="Times New Roman" w:cs="Calibri"/>
                <w:color w:val="000000"/>
                <w:sz w:val="20"/>
                <w:szCs w:val="20"/>
                <w:lang w:eastAsia="cs-CZ"/>
              </w:rPr>
              <w:t> </w:t>
            </w:r>
            <w:r w:rsidRPr="00442D99">
              <w:rPr>
                <w:rFonts w:eastAsia="Times New Roman" w:cs="Calibri"/>
                <w:color w:val="000000"/>
                <w:sz w:val="20"/>
                <w:szCs w:val="20"/>
                <w:lang w:eastAsia="cs-CZ"/>
              </w:rPr>
              <w:t>denní formě vzdělávání</w:t>
            </w:r>
          </w:p>
        </w:tc>
        <w:tc>
          <w:tcPr>
            <w:tcW w:w="648" w:type="pct"/>
            <w:tcBorders>
              <w:top w:val="single" w:sz="4" w:space="0" w:color="8ED973"/>
              <w:left w:val="nil"/>
              <w:bottom w:val="nil"/>
              <w:right w:val="nil"/>
            </w:tcBorders>
            <w:noWrap/>
            <w:hideMark/>
          </w:tcPr>
          <w:p w14:paraId="13CD0AC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3C22455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09CAC91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439035F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0474F341" w14:textId="77777777" w:rsidTr="009A58B0">
        <w:trPr>
          <w:trHeight w:val="520"/>
        </w:trPr>
        <w:tc>
          <w:tcPr>
            <w:tcW w:w="2379" w:type="pct"/>
            <w:tcBorders>
              <w:top w:val="single" w:sz="4" w:space="0" w:color="8ED973"/>
              <w:left w:val="single" w:sz="4" w:space="0" w:color="4EA72E"/>
              <w:bottom w:val="nil"/>
              <w:right w:val="nil"/>
            </w:tcBorders>
            <w:hideMark/>
          </w:tcPr>
          <w:p w14:paraId="7279AC6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nově přijatých žáků do 1. ročníku středního vzdělávání bez výučního listu a</w:t>
            </w:r>
            <w:r>
              <w:rPr>
                <w:rFonts w:eastAsia="Times New Roman" w:cs="Calibri"/>
                <w:color w:val="000000"/>
                <w:sz w:val="20"/>
                <w:szCs w:val="20"/>
                <w:lang w:eastAsia="cs-CZ"/>
              </w:rPr>
              <w:t> </w:t>
            </w:r>
            <w:r w:rsidRPr="00442D99">
              <w:rPr>
                <w:rFonts w:eastAsia="Times New Roman" w:cs="Calibri"/>
                <w:color w:val="000000"/>
                <w:sz w:val="20"/>
                <w:szCs w:val="20"/>
                <w:lang w:eastAsia="cs-CZ"/>
              </w:rPr>
              <w:t>maturity v denní formě vzdělávání</w:t>
            </w:r>
          </w:p>
        </w:tc>
        <w:tc>
          <w:tcPr>
            <w:tcW w:w="648" w:type="pct"/>
            <w:tcBorders>
              <w:top w:val="single" w:sz="4" w:space="0" w:color="8ED973"/>
              <w:left w:val="nil"/>
              <w:bottom w:val="nil"/>
              <w:right w:val="nil"/>
            </w:tcBorders>
            <w:noWrap/>
            <w:hideMark/>
          </w:tcPr>
          <w:p w14:paraId="40D8A31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51F6A7B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7E8CEDF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7F914E4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2D3AC10C" w14:textId="77777777" w:rsidTr="009A58B0">
        <w:trPr>
          <w:trHeight w:val="520"/>
        </w:trPr>
        <w:tc>
          <w:tcPr>
            <w:tcW w:w="2379" w:type="pct"/>
            <w:tcBorders>
              <w:top w:val="single" w:sz="4" w:space="0" w:color="8ED973"/>
              <w:left w:val="single" w:sz="4" w:space="0" w:color="4EA72E"/>
              <w:bottom w:val="nil"/>
              <w:right w:val="nil"/>
            </w:tcBorders>
            <w:hideMark/>
          </w:tcPr>
          <w:p w14:paraId="15A4C90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1. stupně ZŠ, kteří se vzdělávají ve školách se školní družinou</w:t>
            </w:r>
            <w:r>
              <w:rPr>
                <w:rFonts w:eastAsia="Times New Roman" w:cs="Calibri"/>
                <w:color w:val="000000"/>
                <w:sz w:val="20"/>
                <w:szCs w:val="20"/>
                <w:lang w:eastAsia="cs-CZ"/>
              </w:rPr>
              <w:t xml:space="preserve">, </w:t>
            </w:r>
            <w:r w:rsidRPr="00442D99">
              <w:rPr>
                <w:rFonts w:eastAsia="Times New Roman" w:cs="Calibri"/>
                <w:color w:val="000000"/>
                <w:sz w:val="20"/>
                <w:szCs w:val="20"/>
                <w:lang w:eastAsia="cs-CZ"/>
              </w:rPr>
              <w:t>u níž je naplněná nebo překročená kapacita</w:t>
            </w:r>
          </w:p>
        </w:tc>
        <w:tc>
          <w:tcPr>
            <w:tcW w:w="648" w:type="pct"/>
            <w:tcBorders>
              <w:top w:val="single" w:sz="4" w:space="0" w:color="8ED973"/>
              <w:left w:val="nil"/>
              <w:bottom w:val="nil"/>
              <w:right w:val="nil"/>
            </w:tcBorders>
            <w:noWrap/>
            <w:hideMark/>
          </w:tcPr>
          <w:p w14:paraId="6DC0BEC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16648D3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2A8A99F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240DBB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28F3B6F5" w14:textId="77777777" w:rsidTr="009A58B0">
        <w:trPr>
          <w:trHeight w:val="520"/>
        </w:trPr>
        <w:tc>
          <w:tcPr>
            <w:tcW w:w="2379" w:type="pct"/>
            <w:tcBorders>
              <w:top w:val="single" w:sz="4" w:space="0" w:color="8ED973"/>
              <w:left w:val="single" w:sz="4" w:space="0" w:color="4EA72E"/>
              <w:bottom w:val="nil"/>
              <w:right w:val="nil"/>
            </w:tcBorders>
            <w:hideMark/>
          </w:tcPr>
          <w:p w14:paraId="420CA59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základních škol se školní družinou</w:t>
            </w:r>
            <w:r>
              <w:rPr>
                <w:rFonts w:eastAsia="Times New Roman" w:cs="Calibri"/>
                <w:color w:val="000000"/>
                <w:sz w:val="20"/>
                <w:szCs w:val="20"/>
                <w:lang w:eastAsia="cs-CZ"/>
              </w:rPr>
              <w:t>,</w:t>
            </w:r>
            <w:r w:rsidRPr="00442D99">
              <w:rPr>
                <w:rFonts w:eastAsia="Times New Roman" w:cs="Calibri"/>
                <w:color w:val="000000"/>
                <w:sz w:val="20"/>
                <w:szCs w:val="20"/>
                <w:lang w:eastAsia="cs-CZ"/>
              </w:rPr>
              <w:t xml:space="preserve"> u níž je naplněná nebo překročená kapacita</w:t>
            </w:r>
          </w:p>
        </w:tc>
        <w:tc>
          <w:tcPr>
            <w:tcW w:w="648" w:type="pct"/>
            <w:tcBorders>
              <w:top w:val="single" w:sz="4" w:space="0" w:color="8ED973"/>
              <w:left w:val="nil"/>
              <w:bottom w:val="nil"/>
              <w:right w:val="nil"/>
            </w:tcBorders>
            <w:noWrap/>
            <w:hideMark/>
          </w:tcPr>
          <w:p w14:paraId="7A39E04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195E141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493623A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D02A15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23ED3600" w14:textId="77777777" w:rsidTr="009A58B0">
        <w:trPr>
          <w:trHeight w:val="520"/>
        </w:trPr>
        <w:tc>
          <w:tcPr>
            <w:tcW w:w="2379" w:type="pct"/>
            <w:tcBorders>
              <w:top w:val="single" w:sz="4" w:space="0" w:color="8ED973"/>
              <w:left w:val="single" w:sz="4" w:space="0" w:color="4EA72E"/>
              <w:bottom w:val="nil"/>
              <w:right w:val="nil"/>
            </w:tcBorders>
            <w:hideMark/>
          </w:tcPr>
          <w:p w14:paraId="28BEAB9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nově přijatých žáků do 1. ročníku středního vzdělávání s maturitní zkouškou v negymnaziálních oborech v denní formě vzdělávání</w:t>
            </w:r>
          </w:p>
        </w:tc>
        <w:tc>
          <w:tcPr>
            <w:tcW w:w="648" w:type="pct"/>
            <w:tcBorders>
              <w:top w:val="single" w:sz="4" w:space="0" w:color="8ED973"/>
              <w:left w:val="nil"/>
              <w:bottom w:val="nil"/>
              <w:right w:val="nil"/>
            </w:tcBorders>
            <w:noWrap/>
            <w:hideMark/>
          </w:tcPr>
          <w:p w14:paraId="35CACBB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3FF5832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48B5ED1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0655C82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280F37EE" w14:textId="77777777" w:rsidTr="009A58B0">
        <w:trPr>
          <w:trHeight w:val="520"/>
        </w:trPr>
        <w:tc>
          <w:tcPr>
            <w:tcW w:w="2379" w:type="pct"/>
            <w:tcBorders>
              <w:top w:val="single" w:sz="4" w:space="0" w:color="8ED973"/>
              <w:left w:val="single" w:sz="4" w:space="0" w:color="4EA72E"/>
              <w:bottom w:val="nil"/>
              <w:right w:val="nil"/>
            </w:tcBorders>
            <w:hideMark/>
          </w:tcPr>
          <w:p w14:paraId="5E3D54B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nově přijatých žáků do 1. ročníku středního vzdělávání s maturitní zkouškou v gymnaziálních oborech v denní formě vzdělávání</w:t>
            </w:r>
          </w:p>
        </w:tc>
        <w:tc>
          <w:tcPr>
            <w:tcW w:w="648" w:type="pct"/>
            <w:tcBorders>
              <w:top w:val="single" w:sz="4" w:space="0" w:color="8ED973"/>
              <w:left w:val="nil"/>
              <w:bottom w:val="nil"/>
              <w:right w:val="nil"/>
            </w:tcBorders>
            <w:noWrap/>
            <w:hideMark/>
          </w:tcPr>
          <w:p w14:paraId="71E7216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4AFA60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02669BB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3570162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0B924D50" w14:textId="77777777" w:rsidTr="009A58B0">
        <w:trPr>
          <w:trHeight w:val="520"/>
        </w:trPr>
        <w:tc>
          <w:tcPr>
            <w:tcW w:w="2379" w:type="pct"/>
            <w:tcBorders>
              <w:top w:val="single" w:sz="4" w:space="0" w:color="8ED973"/>
              <w:left w:val="single" w:sz="4" w:space="0" w:color="4EA72E"/>
              <w:bottom w:val="nil"/>
              <w:right w:val="nil"/>
            </w:tcBorders>
            <w:hideMark/>
          </w:tcPr>
          <w:p w14:paraId="6AE17AC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čerstvých absolventů s výučním listem, kteří pokračují do nástavbového studia v denní formě studia</w:t>
            </w:r>
          </w:p>
        </w:tc>
        <w:tc>
          <w:tcPr>
            <w:tcW w:w="648" w:type="pct"/>
            <w:tcBorders>
              <w:top w:val="single" w:sz="4" w:space="0" w:color="8ED973"/>
              <w:left w:val="nil"/>
              <w:bottom w:val="nil"/>
              <w:right w:val="nil"/>
            </w:tcBorders>
            <w:noWrap/>
            <w:hideMark/>
          </w:tcPr>
          <w:p w14:paraId="6731066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5ECF880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Přijímání ke vzdělávání</w:t>
            </w:r>
          </w:p>
        </w:tc>
        <w:tc>
          <w:tcPr>
            <w:tcW w:w="541" w:type="pct"/>
            <w:tcBorders>
              <w:top w:val="single" w:sz="4" w:space="0" w:color="8ED973"/>
              <w:left w:val="nil"/>
              <w:bottom w:val="nil"/>
              <w:right w:val="nil"/>
            </w:tcBorders>
            <w:noWrap/>
            <w:hideMark/>
          </w:tcPr>
          <w:p w14:paraId="5AA2D3A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339F913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4BE3AA65" w14:textId="77777777" w:rsidTr="009A58B0">
        <w:trPr>
          <w:trHeight w:val="520"/>
        </w:trPr>
        <w:tc>
          <w:tcPr>
            <w:tcW w:w="2379" w:type="pct"/>
            <w:tcBorders>
              <w:top w:val="single" w:sz="4" w:space="0" w:color="8ED973"/>
              <w:left w:val="single" w:sz="4" w:space="0" w:color="4EA72E"/>
              <w:bottom w:val="nil"/>
              <w:right w:val="nil"/>
            </w:tcBorders>
            <w:hideMark/>
          </w:tcPr>
          <w:p w14:paraId="06ACAC3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 se zdravotním znevýhodněním vzdělávajících se v běžných třídách MŠ</w:t>
            </w:r>
          </w:p>
        </w:tc>
        <w:tc>
          <w:tcPr>
            <w:tcW w:w="648" w:type="pct"/>
            <w:tcBorders>
              <w:top w:val="single" w:sz="4" w:space="0" w:color="8ED973"/>
              <w:left w:val="nil"/>
              <w:bottom w:val="nil"/>
              <w:right w:val="nil"/>
            </w:tcBorders>
            <w:noWrap/>
            <w:hideMark/>
          </w:tcPr>
          <w:p w14:paraId="2958602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3E6D704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0779A29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605F87A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698861B7" w14:textId="77777777" w:rsidTr="009A58B0">
        <w:trPr>
          <w:trHeight w:val="520"/>
        </w:trPr>
        <w:tc>
          <w:tcPr>
            <w:tcW w:w="2379" w:type="pct"/>
            <w:tcBorders>
              <w:top w:val="single" w:sz="4" w:space="0" w:color="8ED973"/>
              <w:left w:val="single" w:sz="4" w:space="0" w:color="4EA72E"/>
              <w:bottom w:val="nil"/>
              <w:right w:val="nil"/>
            </w:tcBorders>
            <w:hideMark/>
          </w:tcPr>
          <w:p w14:paraId="780CBC4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se zdravotním znevýhodněním vzdělávajících se v běžných třídách ZŠ</w:t>
            </w:r>
          </w:p>
        </w:tc>
        <w:tc>
          <w:tcPr>
            <w:tcW w:w="648" w:type="pct"/>
            <w:tcBorders>
              <w:top w:val="single" w:sz="4" w:space="0" w:color="8ED973"/>
              <w:left w:val="nil"/>
              <w:bottom w:val="nil"/>
              <w:right w:val="nil"/>
            </w:tcBorders>
            <w:noWrap/>
            <w:hideMark/>
          </w:tcPr>
          <w:p w14:paraId="1B9FFC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63B824E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2A6DCE2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18B56A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4826ED7D" w14:textId="77777777" w:rsidTr="009A58B0">
        <w:trPr>
          <w:trHeight w:val="520"/>
        </w:trPr>
        <w:tc>
          <w:tcPr>
            <w:tcW w:w="2379" w:type="pct"/>
            <w:tcBorders>
              <w:top w:val="single" w:sz="4" w:space="0" w:color="8ED973"/>
              <w:left w:val="single" w:sz="4" w:space="0" w:color="4EA72E"/>
              <w:bottom w:val="nil"/>
              <w:right w:val="nil"/>
            </w:tcBorders>
            <w:hideMark/>
          </w:tcPr>
          <w:p w14:paraId="30199EE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se zdravotním znevýhodněním vzdělávajících se v běžných třídách SŠ v denní formě vzdělávání</w:t>
            </w:r>
          </w:p>
        </w:tc>
        <w:tc>
          <w:tcPr>
            <w:tcW w:w="648" w:type="pct"/>
            <w:tcBorders>
              <w:top w:val="single" w:sz="4" w:space="0" w:color="8ED973"/>
              <w:left w:val="nil"/>
              <w:bottom w:val="nil"/>
              <w:right w:val="nil"/>
            </w:tcBorders>
            <w:noWrap/>
            <w:hideMark/>
          </w:tcPr>
          <w:p w14:paraId="61F182D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09366A0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078E26D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73741A6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4A062EC5" w14:textId="77777777" w:rsidTr="009A58B0">
        <w:trPr>
          <w:trHeight w:val="290"/>
        </w:trPr>
        <w:tc>
          <w:tcPr>
            <w:tcW w:w="2379" w:type="pct"/>
            <w:tcBorders>
              <w:top w:val="single" w:sz="4" w:space="0" w:color="8ED973"/>
              <w:left w:val="single" w:sz="4" w:space="0" w:color="4EA72E"/>
              <w:bottom w:val="nil"/>
              <w:right w:val="nil"/>
            </w:tcBorders>
            <w:hideMark/>
          </w:tcPr>
          <w:p w14:paraId="1871B43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 s přiznaným podpůrným opatřením s kódem NFN v MŠ</w:t>
            </w:r>
          </w:p>
        </w:tc>
        <w:tc>
          <w:tcPr>
            <w:tcW w:w="648" w:type="pct"/>
            <w:tcBorders>
              <w:top w:val="single" w:sz="4" w:space="0" w:color="8ED973"/>
              <w:left w:val="nil"/>
              <w:bottom w:val="nil"/>
              <w:right w:val="nil"/>
            </w:tcBorders>
            <w:noWrap/>
            <w:hideMark/>
          </w:tcPr>
          <w:p w14:paraId="5D1C949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2C7CB46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4720B31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4C829E7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0AB12BFC" w14:textId="77777777" w:rsidTr="009A58B0">
        <w:trPr>
          <w:trHeight w:val="290"/>
        </w:trPr>
        <w:tc>
          <w:tcPr>
            <w:tcW w:w="2379" w:type="pct"/>
            <w:tcBorders>
              <w:top w:val="single" w:sz="4" w:space="0" w:color="8ED973"/>
              <w:left w:val="single" w:sz="4" w:space="0" w:color="4EA72E"/>
              <w:bottom w:val="nil"/>
              <w:right w:val="nil"/>
            </w:tcBorders>
            <w:hideMark/>
          </w:tcPr>
          <w:p w14:paraId="6A3D18D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ve speciálních třídách ZŠ</w:t>
            </w:r>
          </w:p>
        </w:tc>
        <w:tc>
          <w:tcPr>
            <w:tcW w:w="648" w:type="pct"/>
            <w:tcBorders>
              <w:top w:val="single" w:sz="4" w:space="0" w:color="8ED973"/>
              <w:left w:val="nil"/>
              <w:bottom w:val="nil"/>
              <w:right w:val="nil"/>
            </w:tcBorders>
            <w:noWrap/>
            <w:hideMark/>
          </w:tcPr>
          <w:p w14:paraId="44EF428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29D72A8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3E864F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41B6539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13AF3FFB" w14:textId="77777777" w:rsidTr="009A58B0">
        <w:trPr>
          <w:trHeight w:val="290"/>
        </w:trPr>
        <w:tc>
          <w:tcPr>
            <w:tcW w:w="2379" w:type="pct"/>
            <w:tcBorders>
              <w:top w:val="single" w:sz="4" w:space="0" w:color="8ED973"/>
              <w:left w:val="single" w:sz="4" w:space="0" w:color="4EA72E"/>
              <w:bottom w:val="nil"/>
              <w:right w:val="nil"/>
            </w:tcBorders>
            <w:hideMark/>
          </w:tcPr>
          <w:p w14:paraId="49F1268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dětí-cizinců v MŠ</w:t>
            </w:r>
          </w:p>
        </w:tc>
        <w:tc>
          <w:tcPr>
            <w:tcW w:w="648" w:type="pct"/>
            <w:tcBorders>
              <w:top w:val="single" w:sz="4" w:space="0" w:color="8ED973"/>
              <w:left w:val="nil"/>
              <w:bottom w:val="nil"/>
              <w:right w:val="nil"/>
            </w:tcBorders>
            <w:noWrap/>
            <w:hideMark/>
          </w:tcPr>
          <w:p w14:paraId="435F196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325E458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659E465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03FCC8C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0529F605" w14:textId="77777777" w:rsidTr="009A58B0">
        <w:trPr>
          <w:trHeight w:val="290"/>
        </w:trPr>
        <w:tc>
          <w:tcPr>
            <w:tcW w:w="2379" w:type="pct"/>
            <w:tcBorders>
              <w:top w:val="single" w:sz="4" w:space="0" w:color="8ED973"/>
              <w:left w:val="single" w:sz="4" w:space="0" w:color="4EA72E"/>
              <w:bottom w:val="nil"/>
              <w:right w:val="nil"/>
            </w:tcBorders>
            <w:hideMark/>
          </w:tcPr>
          <w:p w14:paraId="453630D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žáků-cizinců v ZŠ</w:t>
            </w:r>
          </w:p>
        </w:tc>
        <w:tc>
          <w:tcPr>
            <w:tcW w:w="648" w:type="pct"/>
            <w:tcBorders>
              <w:top w:val="single" w:sz="4" w:space="0" w:color="8ED973"/>
              <w:left w:val="nil"/>
              <w:bottom w:val="nil"/>
              <w:right w:val="nil"/>
            </w:tcBorders>
            <w:noWrap/>
            <w:hideMark/>
          </w:tcPr>
          <w:p w14:paraId="4AFB70F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2B2A29B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0B8F5E3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161D82A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1EFF0BF7" w14:textId="77777777" w:rsidTr="009A58B0">
        <w:trPr>
          <w:trHeight w:val="290"/>
        </w:trPr>
        <w:tc>
          <w:tcPr>
            <w:tcW w:w="2379" w:type="pct"/>
            <w:tcBorders>
              <w:top w:val="single" w:sz="4" w:space="0" w:color="8ED973"/>
              <w:left w:val="single" w:sz="4" w:space="0" w:color="4EA72E"/>
              <w:bottom w:val="nil"/>
              <w:right w:val="nil"/>
            </w:tcBorders>
            <w:hideMark/>
          </w:tcPr>
          <w:p w14:paraId="35CFDDE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lastRenderedPageBreak/>
              <w:t>Podíl žáků-cizinců v SŠ</w:t>
            </w:r>
          </w:p>
        </w:tc>
        <w:tc>
          <w:tcPr>
            <w:tcW w:w="648" w:type="pct"/>
            <w:tcBorders>
              <w:top w:val="single" w:sz="4" w:space="0" w:color="8ED973"/>
              <w:left w:val="nil"/>
              <w:bottom w:val="nil"/>
              <w:right w:val="nil"/>
            </w:tcBorders>
            <w:noWrap/>
            <w:hideMark/>
          </w:tcPr>
          <w:p w14:paraId="027FE63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7FAEBD6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6DA48C2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5CA0C6F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5978FDD5" w14:textId="77777777" w:rsidTr="009A58B0">
        <w:trPr>
          <w:trHeight w:val="290"/>
        </w:trPr>
        <w:tc>
          <w:tcPr>
            <w:tcW w:w="2379" w:type="pct"/>
            <w:tcBorders>
              <w:top w:val="single" w:sz="4" w:space="0" w:color="8ED973"/>
              <w:left w:val="single" w:sz="4" w:space="0" w:color="4EA72E"/>
              <w:bottom w:val="nil"/>
              <w:right w:val="nil"/>
            </w:tcBorders>
            <w:hideMark/>
          </w:tcPr>
          <w:p w14:paraId="397AC8B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 ve věku 4 let navštěvujících MŠ z dané věkové skupiny</w:t>
            </w:r>
          </w:p>
        </w:tc>
        <w:tc>
          <w:tcPr>
            <w:tcW w:w="648" w:type="pct"/>
            <w:tcBorders>
              <w:top w:val="single" w:sz="4" w:space="0" w:color="8ED973"/>
              <w:left w:val="nil"/>
              <w:bottom w:val="nil"/>
              <w:right w:val="nil"/>
            </w:tcBorders>
            <w:noWrap/>
            <w:hideMark/>
          </w:tcPr>
          <w:p w14:paraId="3672E0F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702DE87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2C3C94B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2B222F3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60511430" w14:textId="77777777" w:rsidTr="009A58B0">
        <w:trPr>
          <w:trHeight w:val="520"/>
        </w:trPr>
        <w:tc>
          <w:tcPr>
            <w:tcW w:w="2379" w:type="pct"/>
            <w:tcBorders>
              <w:top w:val="single" w:sz="4" w:space="0" w:color="8ED973"/>
              <w:left w:val="single" w:sz="4" w:space="0" w:color="4EA72E"/>
              <w:bottom w:val="nil"/>
              <w:right w:val="nil"/>
            </w:tcBorders>
            <w:hideMark/>
          </w:tcPr>
          <w:p w14:paraId="11AEB37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 ve věku 3-5 let navštěvujících předškolní vzdělávání z dané věkové skupiny</w:t>
            </w:r>
          </w:p>
        </w:tc>
        <w:tc>
          <w:tcPr>
            <w:tcW w:w="648" w:type="pct"/>
            <w:tcBorders>
              <w:top w:val="single" w:sz="4" w:space="0" w:color="8ED973"/>
              <w:left w:val="nil"/>
              <w:bottom w:val="nil"/>
              <w:right w:val="nil"/>
            </w:tcBorders>
            <w:noWrap/>
            <w:hideMark/>
          </w:tcPr>
          <w:p w14:paraId="7627A2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69A3A33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45B850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4B06D61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09A74B74" w14:textId="77777777" w:rsidTr="009A58B0">
        <w:trPr>
          <w:trHeight w:val="290"/>
        </w:trPr>
        <w:tc>
          <w:tcPr>
            <w:tcW w:w="2379" w:type="pct"/>
            <w:tcBorders>
              <w:top w:val="single" w:sz="4" w:space="0" w:color="8ED973"/>
              <w:left w:val="single" w:sz="4" w:space="0" w:color="4EA72E"/>
              <w:bottom w:val="nil"/>
              <w:right w:val="nil"/>
            </w:tcBorders>
            <w:hideMark/>
          </w:tcPr>
          <w:p w14:paraId="218066B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 xml:space="preserve">Podíl žáků 1. stupně ZŠ, kteří docházejí do školní družiny </w:t>
            </w:r>
          </w:p>
        </w:tc>
        <w:tc>
          <w:tcPr>
            <w:tcW w:w="648" w:type="pct"/>
            <w:tcBorders>
              <w:top w:val="single" w:sz="4" w:space="0" w:color="8ED973"/>
              <w:left w:val="nil"/>
              <w:bottom w:val="nil"/>
              <w:right w:val="nil"/>
            </w:tcBorders>
            <w:noWrap/>
            <w:hideMark/>
          </w:tcPr>
          <w:p w14:paraId="55F1DFF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3B2AAE6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6F714F7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6901EB2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3DCB8403" w14:textId="77777777" w:rsidTr="009A58B0">
        <w:trPr>
          <w:trHeight w:val="290"/>
        </w:trPr>
        <w:tc>
          <w:tcPr>
            <w:tcW w:w="2379" w:type="pct"/>
            <w:tcBorders>
              <w:top w:val="single" w:sz="4" w:space="0" w:color="8ED973"/>
              <w:left w:val="single" w:sz="4" w:space="0" w:color="4EA72E"/>
              <w:bottom w:val="nil"/>
              <w:right w:val="nil"/>
            </w:tcBorders>
            <w:hideMark/>
          </w:tcPr>
          <w:p w14:paraId="7206668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dětí ve věku 3 let navštěvujících MŠ z dané věkové skupiny</w:t>
            </w:r>
          </w:p>
        </w:tc>
        <w:tc>
          <w:tcPr>
            <w:tcW w:w="648" w:type="pct"/>
            <w:tcBorders>
              <w:top w:val="single" w:sz="4" w:space="0" w:color="8ED973"/>
              <w:left w:val="nil"/>
              <w:bottom w:val="nil"/>
              <w:right w:val="nil"/>
            </w:tcBorders>
            <w:noWrap/>
            <w:hideMark/>
          </w:tcPr>
          <w:p w14:paraId="7A98042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34E47ED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3CE4131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14BD50A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46524549" w14:textId="77777777" w:rsidTr="009A58B0">
        <w:trPr>
          <w:trHeight w:val="290"/>
        </w:trPr>
        <w:tc>
          <w:tcPr>
            <w:tcW w:w="2379" w:type="pct"/>
            <w:tcBorders>
              <w:top w:val="single" w:sz="4" w:space="0" w:color="8ED973"/>
              <w:left w:val="single" w:sz="4" w:space="0" w:color="4EA72E"/>
              <w:bottom w:val="nil"/>
              <w:right w:val="nil"/>
            </w:tcBorders>
            <w:hideMark/>
          </w:tcPr>
          <w:p w14:paraId="4394382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Procento 15letých žáků s aspirací dosáhnout vysokoškolského vzdělání</w:t>
            </w:r>
          </w:p>
        </w:tc>
        <w:tc>
          <w:tcPr>
            <w:tcW w:w="648" w:type="pct"/>
            <w:tcBorders>
              <w:top w:val="single" w:sz="4" w:space="0" w:color="8ED973"/>
              <w:left w:val="nil"/>
              <w:bottom w:val="nil"/>
              <w:right w:val="nil"/>
            </w:tcBorders>
            <w:noWrap/>
            <w:hideMark/>
          </w:tcPr>
          <w:p w14:paraId="283B6B4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0A8ED88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Vzdělanostní aspirace</w:t>
            </w:r>
          </w:p>
        </w:tc>
        <w:tc>
          <w:tcPr>
            <w:tcW w:w="541" w:type="pct"/>
            <w:tcBorders>
              <w:top w:val="single" w:sz="4" w:space="0" w:color="8ED973"/>
              <w:left w:val="nil"/>
              <w:bottom w:val="nil"/>
              <w:right w:val="nil"/>
            </w:tcBorders>
            <w:noWrap/>
            <w:hideMark/>
          </w:tcPr>
          <w:p w14:paraId="2515C88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4FBAA4D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65706968" w14:textId="77777777" w:rsidTr="009A58B0">
        <w:trPr>
          <w:trHeight w:val="290"/>
        </w:trPr>
        <w:tc>
          <w:tcPr>
            <w:tcW w:w="2379" w:type="pct"/>
            <w:tcBorders>
              <w:top w:val="single" w:sz="4" w:space="0" w:color="8ED973"/>
              <w:left w:val="single" w:sz="4" w:space="0" w:color="4EA72E"/>
              <w:bottom w:val="nil"/>
              <w:right w:val="nil"/>
            </w:tcBorders>
            <w:hideMark/>
          </w:tcPr>
          <w:p w14:paraId="5D38ED6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 xml:space="preserve">Podíl žáků aspirujících v JPZ na maturitní obory </w:t>
            </w:r>
          </w:p>
        </w:tc>
        <w:tc>
          <w:tcPr>
            <w:tcW w:w="648" w:type="pct"/>
            <w:tcBorders>
              <w:top w:val="single" w:sz="4" w:space="0" w:color="8ED973"/>
              <w:left w:val="nil"/>
              <w:bottom w:val="nil"/>
              <w:right w:val="nil"/>
            </w:tcBorders>
            <w:noWrap/>
            <w:hideMark/>
          </w:tcPr>
          <w:p w14:paraId="6BF8EAE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Účast na vzdělávání</w:t>
            </w:r>
          </w:p>
        </w:tc>
        <w:tc>
          <w:tcPr>
            <w:tcW w:w="1191" w:type="pct"/>
            <w:tcBorders>
              <w:top w:val="single" w:sz="4" w:space="0" w:color="8ED973"/>
              <w:left w:val="nil"/>
              <w:bottom w:val="nil"/>
              <w:right w:val="nil"/>
            </w:tcBorders>
            <w:noWrap/>
            <w:hideMark/>
          </w:tcPr>
          <w:p w14:paraId="475963C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Vzdělanostní aspirace</w:t>
            </w:r>
          </w:p>
        </w:tc>
        <w:tc>
          <w:tcPr>
            <w:tcW w:w="541" w:type="pct"/>
            <w:tcBorders>
              <w:top w:val="single" w:sz="4" w:space="0" w:color="8ED973"/>
              <w:left w:val="nil"/>
              <w:bottom w:val="nil"/>
              <w:right w:val="nil"/>
            </w:tcBorders>
            <w:noWrap/>
            <w:hideMark/>
          </w:tcPr>
          <w:p w14:paraId="4B54E56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12F1E87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6E8F1493" w14:textId="77777777" w:rsidTr="009A58B0">
        <w:trPr>
          <w:trHeight w:val="290"/>
        </w:trPr>
        <w:tc>
          <w:tcPr>
            <w:tcW w:w="2379" w:type="pct"/>
            <w:tcBorders>
              <w:top w:val="single" w:sz="4" w:space="0" w:color="8ED973"/>
              <w:left w:val="single" w:sz="4" w:space="0" w:color="4EA72E"/>
              <w:bottom w:val="nil"/>
              <w:right w:val="nil"/>
            </w:tcBorders>
            <w:hideMark/>
          </w:tcPr>
          <w:p w14:paraId="2488B9D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Absolutní úspěšnost maturantů k celkovému počtu maturantů</w:t>
            </w:r>
          </w:p>
        </w:tc>
        <w:tc>
          <w:tcPr>
            <w:tcW w:w="648" w:type="pct"/>
            <w:tcBorders>
              <w:top w:val="single" w:sz="4" w:space="0" w:color="8ED973"/>
              <w:left w:val="nil"/>
              <w:bottom w:val="nil"/>
              <w:right w:val="nil"/>
            </w:tcBorders>
            <w:noWrap/>
            <w:hideMark/>
          </w:tcPr>
          <w:p w14:paraId="2C4F092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6F1F345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Maturitní zkouška</w:t>
            </w:r>
          </w:p>
        </w:tc>
        <w:tc>
          <w:tcPr>
            <w:tcW w:w="541" w:type="pct"/>
            <w:tcBorders>
              <w:top w:val="single" w:sz="4" w:space="0" w:color="8ED973"/>
              <w:left w:val="nil"/>
              <w:bottom w:val="nil"/>
              <w:right w:val="nil"/>
            </w:tcBorders>
            <w:noWrap/>
            <w:hideMark/>
          </w:tcPr>
          <w:p w14:paraId="1B290F7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1143BBF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64E7DA25" w14:textId="77777777" w:rsidTr="009A58B0">
        <w:trPr>
          <w:trHeight w:val="290"/>
        </w:trPr>
        <w:tc>
          <w:tcPr>
            <w:tcW w:w="2379" w:type="pct"/>
            <w:tcBorders>
              <w:top w:val="single" w:sz="4" w:space="0" w:color="8ED973"/>
              <w:left w:val="single" w:sz="4" w:space="0" w:color="4EA72E"/>
              <w:bottom w:val="nil"/>
              <w:right w:val="nil"/>
            </w:tcBorders>
            <w:hideMark/>
          </w:tcPr>
          <w:p w14:paraId="0215326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 xml:space="preserve">Podíl úspěšných </w:t>
            </w:r>
            <w:proofErr w:type="spellStart"/>
            <w:r w:rsidRPr="00442D99">
              <w:rPr>
                <w:rFonts w:eastAsia="Times New Roman" w:cs="Calibri"/>
                <w:color w:val="000000"/>
                <w:sz w:val="20"/>
                <w:szCs w:val="20"/>
                <w:lang w:eastAsia="cs-CZ"/>
              </w:rPr>
              <w:t>prvomaturantů</w:t>
            </w:r>
            <w:proofErr w:type="spellEnd"/>
            <w:r w:rsidRPr="00442D99">
              <w:rPr>
                <w:rFonts w:eastAsia="Times New Roman" w:cs="Calibri"/>
                <w:color w:val="000000"/>
                <w:sz w:val="20"/>
                <w:szCs w:val="20"/>
                <w:lang w:eastAsia="cs-CZ"/>
              </w:rPr>
              <w:t xml:space="preserve"> k celkovému počtu maturantů</w:t>
            </w:r>
          </w:p>
        </w:tc>
        <w:tc>
          <w:tcPr>
            <w:tcW w:w="648" w:type="pct"/>
            <w:tcBorders>
              <w:top w:val="single" w:sz="4" w:space="0" w:color="8ED973"/>
              <w:left w:val="nil"/>
              <w:bottom w:val="nil"/>
              <w:right w:val="nil"/>
            </w:tcBorders>
            <w:noWrap/>
            <w:hideMark/>
          </w:tcPr>
          <w:p w14:paraId="023C768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649B3D2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Maturitní zkouška</w:t>
            </w:r>
          </w:p>
        </w:tc>
        <w:tc>
          <w:tcPr>
            <w:tcW w:w="541" w:type="pct"/>
            <w:tcBorders>
              <w:top w:val="single" w:sz="4" w:space="0" w:color="8ED973"/>
              <w:left w:val="nil"/>
              <w:bottom w:val="nil"/>
              <w:right w:val="nil"/>
            </w:tcBorders>
            <w:noWrap/>
            <w:hideMark/>
          </w:tcPr>
          <w:p w14:paraId="32870A6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01A653C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4A8BD3C4" w14:textId="77777777" w:rsidTr="009A58B0">
        <w:trPr>
          <w:trHeight w:val="290"/>
        </w:trPr>
        <w:tc>
          <w:tcPr>
            <w:tcW w:w="2379" w:type="pct"/>
            <w:tcBorders>
              <w:top w:val="single" w:sz="4" w:space="0" w:color="8ED973"/>
              <w:left w:val="single" w:sz="4" w:space="0" w:color="4EA72E"/>
              <w:bottom w:val="nil"/>
              <w:right w:val="nil"/>
            </w:tcBorders>
            <w:hideMark/>
          </w:tcPr>
          <w:p w14:paraId="2DA89EC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výsledek 15letých v testech matematické gramotnosti (PISA)</w:t>
            </w:r>
          </w:p>
        </w:tc>
        <w:tc>
          <w:tcPr>
            <w:tcW w:w="648" w:type="pct"/>
            <w:tcBorders>
              <w:top w:val="single" w:sz="4" w:space="0" w:color="8ED973"/>
              <w:left w:val="nil"/>
              <w:bottom w:val="nil"/>
              <w:right w:val="nil"/>
            </w:tcBorders>
            <w:noWrap/>
            <w:hideMark/>
          </w:tcPr>
          <w:p w14:paraId="38DFF55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02D4A5B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Mezinárodní šetření</w:t>
            </w:r>
          </w:p>
        </w:tc>
        <w:tc>
          <w:tcPr>
            <w:tcW w:w="541" w:type="pct"/>
            <w:tcBorders>
              <w:top w:val="single" w:sz="4" w:space="0" w:color="8ED973"/>
              <w:left w:val="nil"/>
              <w:bottom w:val="nil"/>
              <w:right w:val="nil"/>
            </w:tcBorders>
            <w:noWrap/>
            <w:hideMark/>
          </w:tcPr>
          <w:p w14:paraId="32E50D8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1845D86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2F1457BC" w14:textId="77777777" w:rsidTr="009A58B0">
        <w:trPr>
          <w:trHeight w:val="520"/>
        </w:trPr>
        <w:tc>
          <w:tcPr>
            <w:tcW w:w="2379" w:type="pct"/>
            <w:tcBorders>
              <w:top w:val="single" w:sz="4" w:space="0" w:color="8ED973"/>
              <w:left w:val="single" w:sz="4" w:space="0" w:color="4EA72E"/>
              <w:bottom w:val="nil"/>
              <w:right w:val="nil"/>
            </w:tcBorders>
            <w:hideMark/>
          </w:tcPr>
          <w:p w14:paraId="7147D2B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výsledek žáků 4. tříd ZŠ v testech matematické dovednosti (TIMSS)</w:t>
            </w:r>
          </w:p>
        </w:tc>
        <w:tc>
          <w:tcPr>
            <w:tcW w:w="648" w:type="pct"/>
            <w:tcBorders>
              <w:top w:val="single" w:sz="4" w:space="0" w:color="8ED973"/>
              <w:left w:val="nil"/>
              <w:bottom w:val="nil"/>
              <w:right w:val="nil"/>
            </w:tcBorders>
            <w:noWrap/>
            <w:hideMark/>
          </w:tcPr>
          <w:p w14:paraId="6B6B2EB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09EAF3F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Mezinárodní šetření</w:t>
            </w:r>
          </w:p>
        </w:tc>
        <w:tc>
          <w:tcPr>
            <w:tcW w:w="541" w:type="pct"/>
            <w:tcBorders>
              <w:top w:val="single" w:sz="4" w:space="0" w:color="8ED973"/>
              <w:left w:val="nil"/>
              <w:bottom w:val="nil"/>
              <w:right w:val="nil"/>
            </w:tcBorders>
            <w:noWrap/>
            <w:hideMark/>
          </w:tcPr>
          <w:p w14:paraId="159E6FC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7A33C4D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1D1EDE10" w14:textId="77777777" w:rsidTr="009A58B0">
        <w:trPr>
          <w:trHeight w:val="520"/>
        </w:trPr>
        <w:tc>
          <w:tcPr>
            <w:tcW w:w="2379" w:type="pct"/>
            <w:tcBorders>
              <w:top w:val="single" w:sz="4" w:space="0" w:color="8ED973"/>
              <w:left w:val="single" w:sz="4" w:space="0" w:color="4EA72E"/>
              <w:bottom w:val="nil"/>
              <w:right w:val="nil"/>
            </w:tcBorders>
            <w:hideMark/>
          </w:tcPr>
          <w:p w14:paraId="3A768E1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výsledek žáků 4. tříd ZŠ v testech přírodovědné dovednosti (TIMSS)</w:t>
            </w:r>
          </w:p>
        </w:tc>
        <w:tc>
          <w:tcPr>
            <w:tcW w:w="648" w:type="pct"/>
            <w:tcBorders>
              <w:top w:val="single" w:sz="4" w:space="0" w:color="8ED973"/>
              <w:left w:val="nil"/>
              <w:bottom w:val="nil"/>
              <w:right w:val="nil"/>
            </w:tcBorders>
            <w:noWrap/>
            <w:hideMark/>
          </w:tcPr>
          <w:p w14:paraId="71366E3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502FD82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Mezinárodní šetření</w:t>
            </w:r>
          </w:p>
        </w:tc>
        <w:tc>
          <w:tcPr>
            <w:tcW w:w="541" w:type="pct"/>
            <w:tcBorders>
              <w:top w:val="single" w:sz="4" w:space="0" w:color="8ED973"/>
              <w:left w:val="nil"/>
              <w:bottom w:val="nil"/>
              <w:right w:val="nil"/>
            </w:tcBorders>
            <w:noWrap/>
            <w:hideMark/>
          </w:tcPr>
          <w:p w14:paraId="568325D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0050216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1C8E9840" w14:textId="77777777" w:rsidTr="009A58B0">
        <w:trPr>
          <w:trHeight w:val="520"/>
        </w:trPr>
        <w:tc>
          <w:tcPr>
            <w:tcW w:w="2379" w:type="pct"/>
            <w:tcBorders>
              <w:top w:val="single" w:sz="4" w:space="0" w:color="8ED973"/>
              <w:left w:val="single" w:sz="4" w:space="0" w:color="4EA72E"/>
              <w:bottom w:val="nil"/>
              <w:right w:val="nil"/>
            </w:tcBorders>
            <w:hideMark/>
          </w:tcPr>
          <w:p w14:paraId="4439DDA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výsledek žáků 8. tříd ZŠ v testech matematické dovednosti (TIMSS)</w:t>
            </w:r>
          </w:p>
        </w:tc>
        <w:tc>
          <w:tcPr>
            <w:tcW w:w="648" w:type="pct"/>
            <w:tcBorders>
              <w:top w:val="single" w:sz="4" w:space="0" w:color="8ED973"/>
              <w:left w:val="nil"/>
              <w:bottom w:val="nil"/>
              <w:right w:val="nil"/>
            </w:tcBorders>
            <w:noWrap/>
            <w:hideMark/>
          </w:tcPr>
          <w:p w14:paraId="7AF8859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2B28CCD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Mezinárodní šetření</w:t>
            </w:r>
          </w:p>
        </w:tc>
        <w:tc>
          <w:tcPr>
            <w:tcW w:w="541" w:type="pct"/>
            <w:tcBorders>
              <w:top w:val="single" w:sz="4" w:space="0" w:color="8ED973"/>
              <w:left w:val="nil"/>
              <w:bottom w:val="nil"/>
              <w:right w:val="nil"/>
            </w:tcBorders>
            <w:noWrap/>
            <w:hideMark/>
          </w:tcPr>
          <w:p w14:paraId="5748155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0366DF3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084BA930" w14:textId="77777777" w:rsidTr="009A58B0">
        <w:trPr>
          <w:trHeight w:val="520"/>
        </w:trPr>
        <w:tc>
          <w:tcPr>
            <w:tcW w:w="2379" w:type="pct"/>
            <w:tcBorders>
              <w:top w:val="single" w:sz="4" w:space="0" w:color="8ED973"/>
              <w:left w:val="single" w:sz="4" w:space="0" w:color="4EA72E"/>
              <w:bottom w:val="nil"/>
              <w:right w:val="nil"/>
            </w:tcBorders>
            <w:hideMark/>
          </w:tcPr>
          <w:p w14:paraId="2573A37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Průměrný výsledek žáků 8. tříd ZŠ v testech přírodovědné dovednosti (TIMSS)</w:t>
            </w:r>
          </w:p>
        </w:tc>
        <w:tc>
          <w:tcPr>
            <w:tcW w:w="648" w:type="pct"/>
            <w:tcBorders>
              <w:top w:val="single" w:sz="4" w:space="0" w:color="8ED973"/>
              <w:left w:val="nil"/>
              <w:bottom w:val="nil"/>
              <w:right w:val="nil"/>
            </w:tcBorders>
            <w:noWrap/>
            <w:hideMark/>
          </w:tcPr>
          <w:p w14:paraId="605312B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6E02452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Mezinárodní šetření</w:t>
            </w:r>
          </w:p>
        </w:tc>
        <w:tc>
          <w:tcPr>
            <w:tcW w:w="541" w:type="pct"/>
            <w:tcBorders>
              <w:top w:val="single" w:sz="4" w:space="0" w:color="8ED973"/>
              <w:left w:val="nil"/>
              <w:bottom w:val="nil"/>
              <w:right w:val="nil"/>
            </w:tcBorders>
            <w:noWrap/>
            <w:hideMark/>
          </w:tcPr>
          <w:p w14:paraId="682301D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20A82E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1651A2CE" w14:textId="77777777" w:rsidTr="009A58B0">
        <w:trPr>
          <w:trHeight w:val="290"/>
        </w:trPr>
        <w:tc>
          <w:tcPr>
            <w:tcW w:w="2379" w:type="pct"/>
            <w:tcBorders>
              <w:top w:val="single" w:sz="4" w:space="0" w:color="8ED973"/>
              <w:left w:val="single" w:sz="4" w:space="0" w:color="4EA72E"/>
              <w:bottom w:val="nil"/>
              <w:right w:val="nil"/>
            </w:tcBorders>
            <w:hideMark/>
          </w:tcPr>
          <w:p w14:paraId="59A659C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5. tříd ZŠ v českém jazyce v nejnižší úrovni výsledků (4. úroveň)</w:t>
            </w:r>
          </w:p>
        </w:tc>
        <w:tc>
          <w:tcPr>
            <w:tcW w:w="648" w:type="pct"/>
            <w:tcBorders>
              <w:top w:val="single" w:sz="4" w:space="0" w:color="8ED973"/>
              <w:left w:val="nil"/>
              <w:bottom w:val="nil"/>
              <w:right w:val="nil"/>
            </w:tcBorders>
            <w:noWrap/>
            <w:hideMark/>
          </w:tcPr>
          <w:p w14:paraId="5DCFCC4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07DC086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1F3BE82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84626F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6F91976E" w14:textId="77777777" w:rsidTr="009A58B0">
        <w:trPr>
          <w:trHeight w:val="290"/>
        </w:trPr>
        <w:tc>
          <w:tcPr>
            <w:tcW w:w="2379" w:type="pct"/>
            <w:tcBorders>
              <w:top w:val="single" w:sz="4" w:space="0" w:color="8ED973"/>
              <w:left w:val="single" w:sz="4" w:space="0" w:color="4EA72E"/>
              <w:bottom w:val="nil"/>
              <w:right w:val="nil"/>
            </w:tcBorders>
            <w:hideMark/>
          </w:tcPr>
          <w:p w14:paraId="54DF80D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5. tříd ZŠ v matematice v nejnižší úrovni výsledků (4. úroveň)</w:t>
            </w:r>
          </w:p>
        </w:tc>
        <w:tc>
          <w:tcPr>
            <w:tcW w:w="648" w:type="pct"/>
            <w:tcBorders>
              <w:top w:val="single" w:sz="4" w:space="0" w:color="8ED973"/>
              <w:left w:val="nil"/>
              <w:bottom w:val="nil"/>
              <w:right w:val="nil"/>
            </w:tcBorders>
            <w:noWrap/>
            <w:hideMark/>
          </w:tcPr>
          <w:p w14:paraId="1D5EA74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5344FDB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18C6B0B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19766F1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7D70CB36" w14:textId="77777777" w:rsidTr="009A58B0">
        <w:trPr>
          <w:trHeight w:val="290"/>
        </w:trPr>
        <w:tc>
          <w:tcPr>
            <w:tcW w:w="2379" w:type="pct"/>
            <w:tcBorders>
              <w:top w:val="single" w:sz="4" w:space="0" w:color="8ED973"/>
              <w:left w:val="single" w:sz="4" w:space="0" w:color="4EA72E"/>
              <w:bottom w:val="nil"/>
              <w:right w:val="nil"/>
            </w:tcBorders>
            <w:hideMark/>
          </w:tcPr>
          <w:p w14:paraId="3F6B466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9. tříd ZŠ v českém jazyce v nejnižší úrovni výsledků (4. úroveň)</w:t>
            </w:r>
          </w:p>
        </w:tc>
        <w:tc>
          <w:tcPr>
            <w:tcW w:w="648" w:type="pct"/>
            <w:tcBorders>
              <w:top w:val="single" w:sz="4" w:space="0" w:color="8ED973"/>
              <w:left w:val="nil"/>
              <w:bottom w:val="nil"/>
              <w:right w:val="nil"/>
            </w:tcBorders>
            <w:noWrap/>
            <w:hideMark/>
          </w:tcPr>
          <w:p w14:paraId="1177D4F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3D32373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4A7CFBE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7D83B8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391A1B60" w14:textId="77777777" w:rsidTr="009A58B0">
        <w:trPr>
          <w:trHeight w:val="290"/>
        </w:trPr>
        <w:tc>
          <w:tcPr>
            <w:tcW w:w="2379" w:type="pct"/>
            <w:tcBorders>
              <w:top w:val="single" w:sz="4" w:space="0" w:color="8ED973"/>
              <w:left w:val="single" w:sz="4" w:space="0" w:color="4EA72E"/>
              <w:bottom w:val="nil"/>
              <w:right w:val="nil"/>
            </w:tcBorders>
            <w:hideMark/>
          </w:tcPr>
          <w:p w14:paraId="6B30CBA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9. tříd ZŠ v matematice v nejnižší úrovni výsledků (4. úroveň)</w:t>
            </w:r>
          </w:p>
        </w:tc>
        <w:tc>
          <w:tcPr>
            <w:tcW w:w="648" w:type="pct"/>
            <w:tcBorders>
              <w:top w:val="single" w:sz="4" w:space="0" w:color="8ED973"/>
              <w:left w:val="nil"/>
              <w:bottom w:val="nil"/>
              <w:right w:val="nil"/>
            </w:tcBorders>
            <w:noWrap/>
            <w:hideMark/>
          </w:tcPr>
          <w:p w14:paraId="4A01BB6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3F7E5FD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6E30832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623DE7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7A740011" w14:textId="77777777" w:rsidTr="009A58B0">
        <w:trPr>
          <w:trHeight w:val="520"/>
        </w:trPr>
        <w:tc>
          <w:tcPr>
            <w:tcW w:w="2379" w:type="pct"/>
            <w:tcBorders>
              <w:top w:val="single" w:sz="4" w:space="0" w:color="8ED973"/>
              <w:left w:val="single" w:sz="4" w:space="0" w:color="4EA72E"/>
              <w:bottom w:val="nil"/>
              <w:right w:val="nil"/>
            </w:tcBorders>
            <w:hideMark/>
          </w:tcPr>
          <w:p w14:paraId="399908C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5. tříd ZŠ v českém jazyce v nejvyšší úrovni výsledků (1. úroveň)</w:t>
            </w:r>
          </w:p>
        </w:tc>
        <w:tc>
          <w:tcPr>
            <w:tcW w:w="648" w:type="pct"/>
            <w:tcBorders>
              <w:top w:val="single" w:sz="4" w:space="0" w:color="8ED973"/>
              <w:left w:val="nil"/>
              <w:bottom w:val="nil"/>
              <w:right w:val="nil"/>
            </w:tcBorders>
            <w:noWrap/>
            <w:hideMark/>
          </w:tcPr>
          <w:p w14:paraId="3EF3223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1073B8D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4286364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1DCB0B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147B352B" w14:textId="77777777" w:rsidTr="009A58B0">
        <w:trPr>
          <w:trHeight w:val="290"/>
        </w:trPr>
        <w:tc>
          <w:tcPr>
            <w:tcW w:w="2379" w:type="pct"/>
            <w:tcBorders>
              <w:top w:val="single" w:sz="4" w:space="0" w:color="8ED973"/>
              <w:left w:val="single" w:sz="4" w:space="0" w:color="4EA72E"/>
              <w:bottom w:val="nil"/>
              <w:right w:val="nil"/>
            </w:tcBorders>
            <w:hideMark/>
          </w:tcPr>
          <w:p w14:paraId="4F33971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5. tříd ZŠ v matematice v nejvyšší úrovni výsledků (1. úroveň)</w:t>
            </w:r>
          </w:p>
        </w:tc>
        <w:tc>
          <w:tcPr>
            <w:tcW w:w="648" w:type="pct"/>
            <w:tcBorders>
              <w:top w:val="single" w:sz="4" w:space="0" w:color="8ED973"/>
              <w:left w:val="nil"/>
              <w:bottom w:val="nil"/>
              <w:right w:val="nil"/>
            </w:tcBorders>
            <w:noWrap/>
            <w:hideMark/>
          </w:tcPr>
          <w:p w14:paraId="0938449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4EAB482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1BFB624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15F5DF1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7C32FE9F" w14:textId="77777777" w:rsidTr="009A58B0">
        <w:trPr>
          <w:trHeight w:val="520"/>
        </w:trPr>
        <w:tc>
          <w:tcPr>
            <w:tcW w:w="2379" w:type="pct"/>
            <w:tcBorders>
              <w:top w:val="single" w:sz="4" w:space="0" w:color="8ED973"/>
              <w:left w:val="single" w:sz="4" w:space="0" w:color="4EA72E"/>
              <w:bottom w:val="nil"/>
              <w:right w:val="nil"/>
            </w:tcBorders>
            <w:hideMark/>
          </w:tcPr>
          <w:p w14:paraId="55B3699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9. tříd ZŠ v českém jazyce v nejvyšší úrovni výsledků (1. úroveň)</w:t>
            </w:r>
          </w:p>
        </w:tc>
        <w:tc>
          <w:tcPr>
            <w:tcW w:w="648" w:type="pct"/>
            <w:tcBorders>
              <w:top w:val="single" w:sz="4" w:space="0" w:color="8ED973"/>
              <w:left w:val="nil"/>
              <w:bottom w:val="nil"/>
              <w:right w:val="nil"/>
            </w:tcBorders>
            <w:noWrap/>
            <w:hideMark/>
          </w:tcPr>
          <w:p w14:paraId="5EE7B8A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7AA49C5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180F7B9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506428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4E5B122B" w14:textId="77777777" w:rsidTr="009A58B0">
        <w:trPr>
          <w:trHeight w:val="290"/>
        </w:trPr>
        <w:tc>
          <w:tcPr>
            <w:tcW w:w="2379" w:type="pct"/>
            <w:tcBorders>
              <w:top w:val="single" w:sz="4" w:space="0" w:color="8ED973"/>
              <w:left w:val="single" w:sz="4" w:space="0" w:color="4EA72E"/>
              <w:bottom w:val="nil"/>
              <w:right w:val="nil"/>
            </w:tcBorders>
            <w:hideMark/>
          </w:tcPr>
          <w:p w14:paraId="4B5F01D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9. tříd ZŠ v matematice v nejvyšší úrovni výsledků (1. úroveň)</w:t>
            </w:r>
          </w:p>
        </w:tc>
        <w:tc>
          <w:tcPr>
            <w:tcW w:w="648" w:type="pct"/>
            <w:tcBorders>
              <w:top w:val="single" w:sz="4" w:space="0" w:color="8ED973"/>
              <w:left w:val="nil"/>
              <w:bottom w:val="nil"/>
              <w:right w:val="nil"/>
            </w:tcBorders>
            <w:noWrap/>
            <w:hideMark/>
          </w:tcPr>
          <w:p w14:paraId="16D6541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3765F9E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Národní zjišťování</w:t>
            </w:r>
          </w:p>
        </w:tc>
        <w:tc>
          <w:tcPr>
            <w:tcW w:w="541" w:type="pct"/>
            <w:tcBorders>
              <w:top w:val="single" w:sz="4" w:space="0" w:color="8ED973"/>
              <w:left w:val="nil"/>
              <w:bottom w:val="nil"/>
              <w:right w:val="nil"/>
            </w:tcBorders>
            <w:noWrap/>
            <w:hideMark/>
          </w:tcPr>
          <w:p w14:paraId="5E303E0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7BC84DB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0874B6B2" w14:textId="77777777" w:rsidTr="009A58B0">
        <w:trPr>
          <w:trHeight w:val="290"/>
        </w:trPr>
        <w:tc>
          <w:tcPr>
            <w:tcW w:w="2379" w:type="pct"/>
            <w:tcBorders>
              <w:top w:val="single" w:sz="4" w:space="0" w:color="8ED973"/>
              <w:left w:val="single" w:sz="4" w:space="0" w:color="4EA72E"/>
              <w:bottom w:val="nil"/>
              <w:right w:val="nil"/>
            </w:tcBorders>
            <w:hideMark/>
          </w:tcPr>
          <w:p w14:paraId="16D4D29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opakujících ročník v SŠ v gymnaziálních oborech</w:t>
            </w:r>
          </w:p>
        </w:tc>
        <w:tc>
          <w:tcPr>
            <w:tcW w:w="648" w:type="pct"/>
            <w:tcBorders>
              <w:top w:val="single" w:sz="4" w:space="0" w:color="8ED973"/>
              <w:left w:val="nil"/>
              <w:bottom w:val="nil"/>
              <w:right w:val="nil"/>
            </w:tcBorders>
            <w:noWrap/>
            <w:hideMark/>
          </w:tcPr>
          <w:p w14:paraId="7DA0A67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171E8CA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Opakování ročníku</w:t>
            </w:r>
          </w:p>
        </w:tc>
        <w:tc>
          <w:tcPr>
            <w:tcW w:w="541" w:type="pct"/>
            <w:tcBorders>
              <w:top w:val="single" w:sz="4" w:space="0" w:color="8ED973"/>
              <w:left w:val="nil"/>
              <w:bottom w:val="nil"/>
              <w:right w:val="nil"/>
            </w:tcBorders>
            <w:noWrap/>
            <w:hideMark/>
          </w:tcPr>
          <w:p w14:paraId="0A07AF4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63DBF5E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7258AC6A" w14:textId="77777777" w:rsidTr="009A58B0">
        <w:trPr>
          <w:trHeight w:val="290"/>
        </w:trPr>
        <w:tc>
          <w:tcPr>
            <w:tcW w:w="2379" w:type="pct"/>
            <w:tcBorders>
              <w:top w:val="single" w:sz="4" w:space="0" w:color="8ED973"/>
              <w:left w:val="single" w:sz="4" w:space="0" w:color="4EA72E"/>
              <w:bottom w:val="nil"/>
              <w:right w:val="nil"/>
            </w:tcBorders>
            <w:hideMark/>
          </w:tcPr>
          <w:p w14:paraId="00918B1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opakujících ročník v SŠ v maturitních negymnaziálních oborech</w:t>
            </w:r>
          </w:p>
        </w:tc>
        <w:tc>
          <w:tcPr>
            <w:tcW w:w="648" w:type="pct"/>
            <w:tcBorders>
              <w:top w:val="single" w:sz="4" w:space="0" w:color="8ED973"/>
              <w:left w:val="nil"/>
              <w:bottom w:val="nil"/>
              <w:right w:val="nil"/>
            </w:tcBorders>
            <w:noWrap/>
            <w:hideMark/>
          </w:tcPr>
          <w:p w14:paraId="6A92466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08A2BA3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Opakování ročníku</w:t>
            </w:r>
          </w:p>
        </w:tc>
        <w:tc>
          <w:tcPr>
            <w:tcW w:w="541" w:type="pct"/>
            <w:tcBorders>
              <w:top w:val="single" w:sz="4" w:space="0" w:color="8ED973"/>
              <w:left w:val="nil"/>
              <w:bottom w:val="nil"/>
              <w:right w:val="nil"/>
            </w:tcBorders>
            <w:noWrap/>
            <w:hideMark/>
          </w:tcPr>
          <w:p w14:paraId="65CF10D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53C61D2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2DE8BCC0" w14:textId="77777777" w:rsidTr="009A58B0">
        <w:trPr>
          <w:trHeight w:val="290"/>
        </w:trPr>
        <w:tc>
          <w:tcPr>
            <w:tcW w:w="2379" w:type="pct"/>
            <w:tcBorders>
              <w:top w:val="single" w:sz="4" w:space="0" w:color="8ED973"/>
              <w:left w:val="single" w:sz="4" w:space="0" w:color="4EA72E"/>
              <w:bottom w:val="nil"/>
              <w:right w:val="nil"/>
            </w:tcBorders>
            <w:hideMark/>
          </w:tcPr>
          <w:p w14:paraId="4EDB638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opakujících ročník v SŠ v oborech nástavbového studia</w:t>
            </w:r>
          </w:p>
        </w:tc>
        <w:tc>
          <w:tcPr>
            <w:tcW w:w="648" w:type="pct"/>
            <w:tcBorders>
              <w:top w:val="single" w:sz="4" w:space="0" w:color="8ED973"/>
              <w:left w:val="nil"/>
              <w:bottom w:val="nil"/>
              <w:right w:val="nil"/>
            </w:tcBorders>
            <w:noWrap/>
            <w:hideMark/>
          </w:tcPr>
          <w:p w14:paraId="5185359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7E65A0A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Opakování ročníku</w:t>
            </w:r>
          </w:p>
        </w:tc>
        <w:tc>
          <w:tcPr>
            <w:tcW w:w="541" w:type="pct"/>
            <w:tcBorders>
              <w:top w:val="single" w:sz="4" w:space="0" w:color="8ED973"/>
              <w:left w:val="nil"/>
              <w:bottom w:val="nil"/>
              <w:right w:val="nil"/>
            </w:tcBorders>
            <w:noWrap/>
            <w:hideMark/>
          </w:tcPr>
          <w:p w14:paraId="1BD0BC0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31CA032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7F7EFFE3" w14:textId="77777777" w:rsidTr="009A58B0">
        <w:trPr>
          <w:trHeight w:val="520"/>
        </w:trPr>
        <w:tc>
          <w:tcPr>
            <w:tcW w:w="2379" w:type="pct"/>
            <w:tcBorders>
              <w:top w:val="single" w:sz="4" w:space="0" w:color="8ED973"/>
              <w:left w:val="single" w:sz="4" w:space="0" w:color="4EA72E"/>
              <w:bottom w:val="nil"/>
              <w:right w:val="nil"/>
            </w:tcBorders>
            <w:hideMark/>
          </w:tcPr>
          <w:p w14:paraId="549DDEB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lastRenderedPageBreak/>
              <w:t>Podíl žáků odcházejících ze středního vzdělávání během prvního roku studia</w:t>
            </w:r>
          </w:p>
        </w:tc>
        <w:tc>
          <w:tcPr>
            <w:tcW w:w="648" w:type="pct"/>
            <w:tcBorders>
              <w:top w:val="single" w:sz="4" w:space="0" w:color="8ED973"/>
              <w:left w:val="nil"/>
              <w:bottom w:val="nil"/>
              <w:right w:val="nil"/>
            </w:tcBorders>
            <w:noWrap/>
            <w:hideMark/>
          </w:tcPr>
          <w:p w14:paraId="477567C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7E1ADC3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Předčasné odchody</w:t>
            </w:r>
          </w:p>
        </w:tc>
        <w:tc>
          <w:tcPr>
            <w:tcW w:w="541" w:type="pct"/>
            <w:tcBorders>
              <w:top w:val="single" w:sz="4" w:space="0" w:color="8ED973"/>
              <w:left w:val="nil"/>
              <w:bottom w:val="nil"/>
              <w:right w:val="nil"/>
            </w:tcBorders>
            <w:noWrap/>
            <w:hideMark/>
          </w:tcPr>
          <w:p w14:paraId="677FEAA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315AB28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2ED1D9FA" w14:textId="77777777" w:rsidTr="009A58B0">
        <w:trPr>
          <w:trHeight w:val="520"/>
        </w:trPr>
        <w:tc>
          <w:tcPr>
            <w:tcW w:w="2379" w:type="pct"/>
            <w:tcBorders>
              <w:top w:val="single" w:sz="4" w:space="0" w:color="8ED973"/>
              <w:left w:val="single" w:sz="4" w:space="0" w:color="4EA72E"/>
              <w:bottom w:val="nil"/>
              <w:right w:val="nil"/>
            </w:tcBorders>
            <w:hideMark/>
          </w:tcPr>
          <w:p w14:paraId="462B9F6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odcházejících ze středoškolského vzdělání po dokončení prvního ročníku</w:t>
            </w:r>
          </w:p>
        </w:tc>
        <w:tc>
          <w:tcPr>
            <w:tcW w:w="648" w:type="pct"/>
            <w:tcBorders>
              <w:top w:val="single" w:sz="4" w:space="0" w:color="8ED973"/>
              <w:left w:val="nil"/>
              <w:bottom w:val="nil"/>
              <w:right w:val="nil"/>
            </w:tcBorders>
            <w:noWrap/>
            <w:hideMark/>
          </w:tcPr>
          <w:p w14:paraId="128FEB1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363AD10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Předčasné odchody</w:t>
            </w:r>
          </w:p>
        </w:tc>
        <w:tc>
          <w:tcPr>
            <w:tcW w:w="541" w:type="pct"/>
            <w:tcBorders>
              <w:top w:val="single" w:sz="4" w:space="0" w:color="8ED973"/>
              <w:left w:val="nil"/>
              <w:bottom w:val="nil"/>
              <w:right w:val="nil"/>
            </w:tcBorders>
            <w:noWrap/>
            <w:hideMark/>
          </w:tcPr>
          <w:p w14:paraId="09720D8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777DC3E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660C3B14" w14:textId="77777777" w:rsidTr="009A58B0">
        <w:trPr>
          <w:trHeight w:val="520"/>
        </w:trPr>
        <w:tc>
          <w:tcPr>
            <w:tcW w:w="2379" w:type="pct"/>
            <w:tcBorders>
              <w:top w:val="single" w:sz="4" w:space="0" w:color="8ED973"/>
              <w:left w:val="single" w:sz="4" w:space="0" w:color="4EA72E"/>
              <w:bottom w:val="nil"/>
              <w:right w:val="nil"/>
            </w:tcBorders>
            <w:hideMark/>
          </w:tcPr>
          <w:p w14:paraId="43A409F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odcházející ze základní školy bez dosaženého stupně vzdělání v oboru Základní škola speciální</w:t>
            </w:r>
          </w:p>
        </w:tc>
        <w:tc>
          <w:tcPr>
            <w:tcW w:w="648" w:type="pct"/>
            <w:tcBorders>
              <w:top w:val="single" w:sz="4" w:space="0" w:color="8ED973"/>
              <w:left w:val="nil"/>
              <w:bottom w:val="nil"/>
              <w:right w:val="nil"/>
            </w:tcBorders>
            <w:noWrap/>
            <w:hideMark/>
          </w:tcPr>
          <w:p w14:paraId="071E05E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25D5D80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Předčasné odchody</w:t>
            </w:r>
          </w:p>
        </w:tc>
        <w:tc>
          <w:tcPr>
            <w:tcW w:w="541" w:type="pct"/>
            <w:tcBorders>
              <w:top w:val="single" w:sz="4" w:space="0" w:color="8ED973"/>
              <w:left w:val="nil"/>
              <w:bottom w:val="nil"/>
              <w:right w:val="nil"/>
            </w:tcBorders>
            <w:noWrap/>
            <w:hideMark/>
          </w:tcPr>
          <w:p w14:paraId="17CD14E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1A6C62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74CA42AE" w14:textId="77777777" w:rsidTr="009A58B0">
        <w:trPr>
          <w:trHeight w:val="520"/>
        </w:trPr>
        <w:tc>
          <w:tcPr>
            <w:tcW w:w="2379" w:type="pct"/>
            <w:tcBorders>
              <w:top w:val="single" w:sz="4" w:space="0" w:color="8ED973"/>
              <w:left w:val="single" w:sz="4" w:space="0" w:color="4EA72E"/>
              <w:bottom w:val="nil"/>
              <w:right w:val="nil"/>
            </w:tcBorders>
            <w:hideMark/>
          </w:tcPr>
          <w:p w14:paraId="7E434C9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odcházející ze základní školy bez dosaženého stupně vzdělání v oboru Základní škola</w:t>
            </w:r>
          </w:p>
        </w:tc>
        <w:tc>
          <w:tcPr>
            <w:tcW w:w="648" w:type="pct"/>
            <w:tcBorders>
              <w:top w:val="single" w:sz="4" w:space="0" w:color="8ED973"/>
              <w:left w:val="nil"/>
              <w:bottom w:val="nil"/>
              <w:right w:val="nil"/>
            </w:tcBorders>
            <w:noWrap/>
            <w:hideMark/>
          </w:tcPr>
          <w:p w14:paraId="76DE7DB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Výsledky vzdělávání</w:t>
            </w:r>
          </w:p>
        </w:tc>
        <w:tc>
          <w:tcPr>
            <w:tcW w:w="1191" w:type="pct"/>
            <w:tcBorders>
              <w:top w:val="single" w:sz="4" w:space="0" w:color="8ED973"/>
              <w:left w:val="nil"/>
              <w:bottom w:val="nil"/>
              <w:right w:val="nil"/>
            </w:tcBorders>
            <w:noWrap/>
            <w:hideMark/>
          </w:tcPr>
          <w:p w14:paraId="5089EAA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Předčasné odchody</w:t>
            </w:r>
          </w:p>
        </w:tc>
        <w:tc>
          <w:tcPr>
            <w:tcW w:w="541" w:type="pct"/>
            <w:tcBorders>
              <w:top w:val="single" w:sz="4" w:space="0" w:color="8ED973"/>
              <w:left w:val="nil"/>
              <w:bottom w:val="nil"/>
              <w:right w:val="nil"/>
            </w:tcBorders>
            <w:noWrap/>
            <w:hideMark/>
          </w:tcPr>
          <w:p w14:paraId="55FC481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4A67378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11D51E0A" w14:textId="77777777" w:rsidTr="009A58B0">
        <w:trPr>
          <w:trHeight w:val="290"/>
        </w:trPr>
        <w:tc>
          <w:tcPr>
            <w:tcW w:w="2379" w:type="pct"/>
            <w:tcBorders>
              <w:top w:val="single" w:sz="4" w:space="0" w:color="8ED973"/>
              <w:left w:val="single" w:sz="4" w:space="0" w:color="4EA72E"/>
              <w:bottom w:val="nil"/>
              <w:right w:val="nil"/>
            </w:tcBorders>
            <w:hideMark/>
          </w:tcPr>
          <w:p w14:paraId="0E6D0B18"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hodin, které byly odučeny učiteli aprobovanými pro daný předmět</w:t>
            </w:r>
          </w:p>
        </w:tc>
        <w:tc>
          <w:tcPr>
            <w:tcW w:w="648" w:type="pct"/>
            <w:tcBorders>
              <w:top w:val="single" w:sz="4" w:space="0" w:color="8ED973"/>
              <w:left w:val="nil"/>
              <w:bottom w:val="nil"/>
              <w:right w:val="nil"/>
            </w:tcBorders>
            <w:noWrap/>
            <w:hideMark/>
          </w:tcPr>
          <w:p w14:paraId="084F513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Výuka</w:t>
            </w:r>
          </w:p>
        </w:tc>
        <w:tc>
          <w:tcPr>
            <w:tcW w:w="1191" w:type="pct"/>
            <w:tcBorders>
              <w:top w:val="single" w:sz="4" w:space="0" w:color="8ED973"/>
              <w:left w:val="nil"/>
              <w:bottom w:val="nil"/>
              <w:right w:val="nil"/>
            </w:tcBorders>
            <w:noWrap/>
            <w:hideMark/>
          </w:tcPr>
          <w:p w14:paraId="65EA847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Aprobovanost</w:t>
            </w:r>
          </w:p>
        </w:tc>
        <w:tc>
          <w:tcPr>
            <w:tcW w:w="541" w:type="pct"/>
            <w:tcBorders>
              <w:top w:val="single" w:sz="4" w:space="0" w:color="8ED973"/>
              <w:left w:val="nil"/>
              <w:bottom w:val="nil"/>
              <w:right w:val="nil"/>
            </w:tcBorders>
            <w:noWrap/>
            <w:hideMark/>
          </w:tcPr>
          <w:p w14:paraId="70E9986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4C87D3C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2D4568D6" w14:textId="77777777" w:rsidTr="009A58B0">
        <w:trPr>
          <w:trHeight w:val="290"/>
        </w:trPr>
        <w:tc>
          <w:tcPr>
            <w:tcW w:w="2379" w:type="pct"/>
            <w:tcBorders>
              <w:top w:val="single" w:sz="4" w:space="0" w:color="8ED973"/>
              <w:left w:val="single" w:sz="4" w:space="0" w:color="4EA72E"/>
              <w:bottom w:val="nil"/>
              <w:right w:val="nil"/>
            </w:tcBorders>
            <w:hideMark/>
          </w:tcPr>
          <w:p w14:paraId="37EE32C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počítačů (přístupných žákům) na 100 žáků 1. stupně ZŠ</w:t>
            </w:r>
          </w:p>
        </w:tc>
        <w:tc>
          <w:tcPr>
            <w:tcW w:w="648" w:type="pct"/>
            <w:tcBorders>
              <w:top w:val="single" w:sz="4" w:space="0" w:color="8ED973"/>
              <w:left w:val="nil"/>
              <w:bottom w:val="nil"/>
              <w:right w:val="nil"/>
            </w:tcBorders>
            <w:noWrap/>
            <w:hideMark/>
          </w:tcPr>
          <w:p w14:paraId="48200C7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Výuka</w:t>
            </w:r>
          </w:p>
        </w:tc>
        <w:tc>
          <w:tcPr>
            <w:tcW w:w="1191" w:type="pct"/>
            <w:tcBorders>
              <w:top w:val="single" w:sz="4" w:space="0" w:color="8ED973"/>
              <w:left w:val="nil"/>
              <w:bottom w:val="nil"/>
              <w:right w:val="nil"/>
            </w:tcBorders>
            <w:noWrap/>
            <w:hideMark/>
          </w:tcPr>
          <w:p w14:paraId="108BD05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ICT</w:t>
            </w:r>
          </w:p>
        </w:tc>
        <w:tc>
          <w:tcPr>
            <w:tcW w:w="541" w:type="pct"/>
            <w:tcBorders>
              <w:top w:val="single" w:sz="4" w:space="0" w:color="8ED973"/>
              <w:left w:val="nil"/>
              <w:bottom w:val="nil"/>
              <w:right w:val="nil"/>
            </w:tcBorders>
            <w:noWrap/>
            <w:hideMark/>
          </w:tcPr>
          <w:p w14:paraId="5EC50EB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48D1A21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69857C38" w14:textId="77777777" w:rsidTr="009A58B0">
        <w:trPr>
          <w:trHeight w:val="290"/>
        </w:trPr>
        <w:tc>
          <w:tcPr>
            <w:tcW w:w="2379" w:type="pct"/>
            <w:tcBorders>
              <w:top w:val="single" w:sz="4" w:space="0" w:color="8ED973"/>
              <w:left w:val="single" w:sz="4" w:space="0" w:color="4EA72E"/>
              <w:bottom w:val="nil"/>
              <w:right w:val="nil"/>
            </w:tcBorders>
            <w:hideMark/>
          </w:tcPr>
          <w:p w14:paraId="5AD3B0F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Počet počítačů (přístupných žákům) na 100 žáků 2. stupně ZŠ</w:t>
            </w:r>
          </w:p>
        </w:tc>
        <w:tc>
          <w:tcPr>
            <w:tcW w:w="648" w:type="pct"/>
            <w:tcBorders>
              <w:top w:val="single" w:sz="4" w:space="0" w:color="8ED973"/>
              <w:left w:val="nil"/>
              <w:bottom w:val="nil"/>
              <w:right w:val="nil"/>
            </w:tcBorders>
            <w:noWrap/>
            <w:hideMark/>
          </w:tcPr>
          <w:p w14:paraId="0638915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Výuka</w:t>
            </w:r>
          </w:p>
        </w:tc>
        <w:tc>
          <w:tcPr>
            <w:tcW w:w="1191" w:type="pct"/>
            <w:tcBorders>
              <w:top w:val="single" w:sz="4" w:space="0" w:color="8ED973"/>
              <w:left w:val="nil"/>
              <w:bottom w:val="nil"/>
              <w:right w:val="nil"/>
            </w:tcBorders>
            <w:noWrap/>
            <w:hideMark/>
          </w:tcPr>
          <w:p w14:paraId="432C13B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ICT</w:t>
            </w:r>
          </w:p>
        </w:tc>
        <w:tc>
          <w:tcPr>
            <w:tcW w:w="541" w:type="pct"/>
            <w:tcBorders>
              <w:top w:val="single" w:sz="4" w:space="0" w:color="8ED973"/>
              <w:left w:val="nil"/>
              <w:bottom w:val="nil"/>
              <w:right w:val="nil"/>
            </w:tcBorders>
            <w:noWrap/>
            <w:hideMark/>
          </w:tcPr>
          <w:p w14:paraId="0CFC2E6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418D6C6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247DA8C9" w14:textId="77777777" w:rsidTr="009A58B0">
        <w:trPr>
          <w:trHeight w:val="290"/>
        </w:trPr>
        <w:tc>
          <w:tcPr>
            <w:tcW w:w="2379" w:type="pct"/>
            <w:tcBorders>
              <w:top w:val="single" w:sz="4" w:space="0" w:color="8ED973"/>
              <w:left w:val="single" w:sz="4" w:space="0" w:color="4EA72E"/>
              <w:bottom w:val="nil"/>
              <w:right w:val="nil"/>
            </w:tcBorders>
            <w:hideMark/>
          </w:tcPr>
          <w:p w14:paraId="40FB5C6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Index šikany (TIMSS) - žáci 4. ročníků ZŠ</w:t>
            </w:r>
          </w:p>
        </w:tc>
        <w:tc>
          <w:tcPr>
            <w:tcW w:w="648" w:type="pct"/>
            <w:tcBorders>
              <w:top w:val="single" w:sz="4" w:space="0" w:color="8ED973"/>
              <w:left w:val="nil"/>
              <w:bottom w:val="nil"/>
              <w:right w:val="nil"/>
            </w:tcBorders>
            <w:noWrap/>
            <w:hideMark/>
          </w:tcPr>
          <w:p w14:paraId="06143F5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Well-being</w:t>
            </w:r>
          </w:p>
        </w:tc>
        <w:tc>
          <w:tcPr>
            <w:tcW w:w="1191" w:type="pct"/>
            <w:tcBorders>
              <w:top w:val="single" w:sz="4" w:space="0" w:color="8ED973"/>
              <w:left w:val="nil"/>
              <w:bottom w:val="nil"/>
              <w:right w:val="nil"/>
            </w:tcBorders>
            <w:noWrap/>
            <w:hideMark/>
          </w:tcPr>
          <w:p w14:paraId="51CE023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Index šikany</w:t>
            </w:r>
          </w:p>
        </w:tc>
        <w:tc>
          <w:tcPr>
            <w:tcW w:w="541" w:type="pct"/>
            <w:tcBorders>
              <w:top w:val="single" w:sz="4" w:space="0" w:color="8ED973"/>
              <w:left w:val="nil"/>
              <w:bottom w:val="nil"/>
              <w:right w:val="nil"/>
            </w:tcBorders>
            <w:noWrap/>
            <w:hideMark/>
          </w:tcPr>
          <w:p w14:paraId="673787C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86136B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4AACE92F" w14:textId="77777777" w:rsidTr="009A58B0">
        <w:trPr>
          <w:trHeight w:val="520"/>
        </w:trPr>
        <w:tc>
          <w:tcPr>
            <w:tcW w:w="2379" w:type="pct"/>
            <w:tcBorders>
              <w:top w:val="single" w:sz="4" w:space="0" w:color="8ED973"/>
              <w:left w:val="single" w:sz="4" w:space="0" w:color="4EA72E"/>
              <w:bottom w:val="nil"/>
              <w:right w:val="nil"/>
            </w:tcBorders>
            <w:hideMark/>
          </w:tcPr>
          <w:p w14:paraId="03C0DC5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souhlasících s výrokem cítím, že do školy patřím (žáci 4. ročníků ZŠ)</w:t>
            </w:r>
          </w:p>
        </w:tc>
        <w:tc>
          <w:tcPr>
            <w:tcW w:w="648" w:type="pct"/>
            <w:tcBorders>
              <w:top w:val="single" w:sz="4" w:space="0" w:color="8ED973"/>
              <w:left w:val="nil"/>
              <w:bottom w:val="nil"/>
              <w:right w:val="nil"/>
            </w:tcBorders>
            <w:noWrap/>
            <w:hideMark/>
          </w:tcPr>
          <w:p w14:paraId="18D2E89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Well-being</w:t>
            </w:r>
          </w:p>
        </w:tc>
        <w:tc>
          <w:tcPr>
            <w:tcW w:w="1191" w:type="pct"/>
            <w:tcBorders>
              <w:top w:val="single" w:sz="4" w:space="0" w:color="8ED973"/>
              <w:left w:val="nil"/>
              <w:bottom w:val="nil"/>
              <w:right w:val="nil"/>
            </w:tcBorders>
            <w:noWrap/>
            <w:hideMark/>
          </w:tcPr>
          <w:p w14:paraId="6E3134D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Sounáležitost se školou</w:t>
            </w:r>
          </w:p>
        </w:tc>
        <w:tc>
          <w:tcPr>
            <w:tcW w:w="541" w:type="pct"/>
            <w:tcBorders>
              <w:top w:val="single" w:sz="4" w:space="0" w:color="8ED973"/>
              <w:left w:val="nil"/>
              <w:bottom w:val="nil"/>
              <w:right w:val="nil"/>
            </w:tcBorders>
            <w:noWrap/>
            <w:hideMark/>
          </w:tcPr>
          <w:p w14:paraId="70C58D2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65C4D1A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2AFF82B8" w14:textId="77777777" w:rsidTr="009A58B0">
        <w:trPr>
          <w:trHeight w:val="520"/>
        </w:trPr>
        <w:tc>
          <w:tcPr>
            <w:tcW w:w="2379" w:type="pct"/>
            <w:tcBorders>
              <w:top w:val="single" w:sz="4" w:space="0" w:color="8ED973"/>
              <w:left w:val="single" w:sz="4" w:space="0" w:color="4EA72E"/>
              <w:bottom w:val="nil"/>
              <w:right w:val="nil"/>
            </w:tcBorders>
            <w:hideMark/>
          </w:tcPr>
          <w:p w14:paraId="667A9C4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4. tříd ZŠ s nedostatečnými výsledky v testech matematických dovedností (TIMSS)</w:t>
            </w:r>
          </w:p>
        </w:tc>
        <w:tc>
          <w:tcPr>
            <w:tcW w:w="648" w:type="pct"/>
            <w:tcBorders>
              <w:top w:val="single" w:sz="4" w:space="0" w:color="8ED973"/>
              <w:left w:val="nil"/>
              <w:bottom w:val="nil"/>
              <w:right w:val="nil"/>
            </w:tcBorders>
            <w:noWrap/>
            <w:hideMark/>
          </w:tcPr>
          <w:p w14:paraId="08C9E80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44D5EED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5E377ED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120A2A2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3F8E92E7" w14:textId="77777777" w:rsidTr="009A58B0">
        <w:trPr>
          <w:trHeight w:val="520"/>
        </w:trPr>
        <w:tc>
          <w:tcPr>
            <w:tcW w:w="2379" w:type="pct"/>
            <w:tcBorders>
              <w:top w:val="single" w:sz="4" w:space="0" w:color="8ED973"/>
              <w:left w:val="single" w:sz="4" w:space="0" w:color="4EA72E"/>
              <w:bottom w:val="nil"/>
              <w:right w:val="nil"/>
            </w:tcBorders>
            <w:hideMark/>
          </w:tcPr>
          <w:p w14:paraId="274685F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4. tříd ZŠ s nedostatečnými výsledky v testech přírodovědných dovedností (TIMSS)</w:t>
            </w:r>
          </w:p>
        </w:tc>
        <w:tc>
          <w:tcPr>
            <w:tcW w:w="648" w:type="pct"/>
            <w:tcBorders>
              <w:top w:val="single" w:sz="4" w:space="0" w:color="8ED973"/>
              <w:left w:val="nil"/>
              <w:bottom w:val="nil"/>
              <w:right w:val="nil"/>
            </w:tcBorders>
            <w:noWrap/>
            <w:hideMark/>
          </w:tcPr>
          <w:p w14:paraId="578D31C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5EBADD0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41BF4C6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62E3285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1A19E800" w14:textId="77777777" w:rsidTr="009A58B0">
        <w:trPr>
          <w:trHeight w:val="520"/>
        </w:trPr>
        <w:tc>
          <w:tcPr>
            <w:tcW w:w="2379" w:type="pct"/>
            <w:tcBorders>
              <w:top w:val="single" w:sz="4" w:space="0" w:color="8ED973"/>
              <w:left w:val="single" w:sz="4" w:space="0" w:color="4EA72E"/>
              <w:bottom w:val="nil"/>
              <w:right w:val="nil"/>
            </w:tcBorders>
            <w:hideMark/>
          </w:tcPr>
          <w:p w14:paraId="5BA67BD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8. tříd ZŠ s nedostatečnými výsledky v testech matematických dovedností (TIMSS)</w:t>
            </w:r>
          </w:p>
        </w:tc>
        <w:tc>
          <w:tcPr>
            <w:tcW w:w="648" w:type="pct"/>
            <w:tcBorders>
              <w:top w:val="single" w:sz="4" w:space="0" w:color="8ED973"/>
              <w:left w:val="nil"/>
              <w:bottom w:val="nil"/>
              <w:right w:val="nil"/>
            </w:tcBorders>
            <w:noWrap/>
            <w:hideMark/>
          </w:tcPr>
          <w:p w14:paraId="1CE9AB5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4B5FFAD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3C26945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F16D5E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11E15288" w14:textId="77777777" w:rsidTr="009A58B0">
        <w:trPr>
          <w:trHeight w:val="520"/>
        </w:trPr>
        <w:tc>
          <w:tcPr>
            <w:tcW w:w="2379" w:type="pct"/>
            <w:tcBorders>
              <w:top w:val="single" w:sz="4" w:space="0" w:color="8ED973"/>
              <w:left w:val="single" w:sz="4" w:space="0" w:color="4EA72E"/>
              <w:bottom w:val="nil"/>
              <w:right w:val="nil"/>
            </w:tcBorders>
            <w:hideMark/>
          </w:tcPr>
          <w:p w14:paraId="6EE607F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8. tříd ZŠ s nedostatečnými výsledky v testech přírodovědných dovedností (TIMSS)</w:t>
            </w:r>
          </w:p>
        </w:tc>
        <w:tc>
          <w:tcPr>
            <w:tcW w:w="648" w:type="pct"/>
            <w:tcBorders>
              <w:top w:val="single" w:sz="4" w:space="0" w:color="8ED973"/>
              <w:left w:val="nil"/>
              <w:bottom w:val="nil"/>
              <w:right w:val="nil"/>
            </w:tcBorders>
            <w:noWrap/>
            <w:hideMark/>
          </w:tcPr>
          <w:p w14:paraId="09CD536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2505257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517BA6B7"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0FB79BD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w:t>
            </w:r>
          </w:p>
        </w:tc>
      </w:tr>
      <w:tr w:rsidR="0024586E" w:rsidRPr="00442D99" w14:paraId="562A9C55" w14:textId="77777777" w:rsidTr="009A58B0">
        <w:trPr>
          <w:trHeight w:val="520"/>
        </w:trPr>
        <w:tc>
          <w:tcPr>
            <w:tcW w:w="2379" w:type="pct"/>
            <w:tcBorders>
              <w:top w:val="single" w:sz="4" w:space="0" w:color="8ED973"/>
              <w:left w:val="single" w:sz="4" w:space="0" w:color="4EA72E"/>
              <w:bottom w:val="nil"/>
              <w:right w:val="nil"/>
            </w:tcBorders>
            <w:hideMark/>
          </w:tcPr>
          <w:p w14:paraId="0C27E85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ZŠ s nedostatečnými výsledky v testech matematické gramotnosti (PISA)</w:t>
            </w:r>
          </w:p>
        </w:tc>
        <w:tc>
          <w:tcPr>
            <w:tcW w:w="648" w:type="pct"/>
            <w:tcBorders>
              <w:top w:val="single" w:sz="4" w:space="0" w:color="8ED973"/>
              <w:left w:val="nil"/>
              <w:bottom w:val="nil"/>
              <w:right w:val="nil"/>
            </w:tcBorders>
            <w:noWrap/>
            <w:hideMark/>
          </w:tcPr>
          <w:p w14:paraId="7208857A"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4BF5848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24EA9FA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57FB139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2</w:t>
            </w:r>
          </w:p>
        </w:tc>
      </w:tr>
      <w:tr w:rsidR="0024586E" w:rsidRPr="00442D99" w14:paraId="0B691BCB" w14:textId="77777777" w:rsidTr="009A58B0">
        <w:trPr>
          <w:trHeight w:val="520"/>
        </w:trPr>
        <w:tc>
          <w:tcPr>
            <w:tcW w:w="2379" w:type="pct"/>
            <w:tcBorders>
              <w:top w:val="single" w:sz="4" w:space="0" w:color="8ED973"/>
              <w:left w:val="single" w:sz="4" w:space="0" w:color="4EA72E"/>
              <w:bottom w:val="nil"/>
              <w:right w:val="nil"/>
            </w:tcBorders>
            <w:hideMark/>
          </w:tcPr>
          <w:p w14:paraId="3BBC4FF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4. tříd ZŠ s excelentními výsledky v testech čtenářských dovedností (PIRLS)</w:t>
            </w:r>
          </w:p>
        </w:tc>
        <w:tc>
          <w:tcPr>
            <w:tcW w:w="648" w:type="pct"/>
            <w:tcBorders>
              <w:top w:val="single" w:sz="4" w:space="0" w:color="8ED973"/>
              <w:left w:val="nil"/>
              <w:bottom w:val="nil"/>
              <w:right w:val="nil"/>
            </w:tcBorders>
            <w:noWrap/>
            <w:hideMark/>
          </w:tcPr>
          <w:p w14:paraId="425527A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57DDFDF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7A65BD1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C13B73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13</w:t>
            </w:r>
          </w:p>
        </w:tc>
      </w:tr>
      <w:tr w:rsidR="0024586E" w:rsidRPr="00442D99" w14:paraId="3F9A191A" w14:textId="77777777" w:rsidTr="009A58B0">
        <w:trPr>
          <w:trHeight w:val="520"/>
        </w:trPr>
        <w:tc>
          <w:tcPr>
            <w:tcW w:w="2379" w:type="pct"/>
            <w:tcBorders>
              <w:top w:val="single" w:sz="4" w:space="0" w:color="8ED973"/>
              <w:left w:val="single" w:sz="4" w:space="0" w:color="4EA72E"/>
              <w:bottom w:val="nil"/>
              <w:right w:val="nil"/>
            </w:tcBorders>
            <w:hideMark/>
          </w:tcPr>
          <w:p w14:paraId="5A5BE78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4. tříd ZŠ s excelentními výsledky v testech matematických dovedností (TIMSS)</w:t>
            </w:r>
          </w:p>
        </w:tc>
        <w:tc>
          <w:tcPr>
            <w:tcW w:w="648" w:type="pct"/>
            <w:tcBorders>
              <w:top w:val="single" w:sz="4" w:space="0" w:color="8ED973"/>
              <w:left w:val="nil"/>
              <w:bottom w:val="nil"/>
              <w:right w:val="nil"/>
            </w:tcBorders>
            <w:noWrap/>
            <w:hideMark/>
          </w:tcPr>
          <w:p w14:paraId="12CEFDE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29EEDC5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4B8888A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4FEFDA64"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3329675B" w14:textId="77777777" w:rsidTr="009A58B0">
        <w:trPr>
          <w:trHeight w:val="520"/>
        </w:trPr>
        <w:tc>
          <w:tcPr>
            <w:tcW w:w="2379" w:type="pct"/>
            <w:tcBorders>
              <w:top w:val="single" w:sz="4" w:space="0" w:color="8ED973"/>
              <w:left w:val="single" w:sz="4" w:space="0" w:color="4EA72E"/>
              <w:bottom w:val="nil"/>
              <w:right w:val="nil"/>
            </w:tcBorders>
            <w:hideMark/>
          </w:tcPr>
          <w:p w14:paraId="15C1CE11"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4. tříd ZŠ s excelentními výsledky v testech přírodovědných dovedností (TIMSS)</w:t>
            </w:r>
          </w:p>
        </w:tc>
        <w:tc>
          <w:tcPr>
            <w:tcW w:w="648" w:type="pct"/>
            <w:tcBorders>
              <w:top w:val="single" w:sz="4" w:space="0" w:color="8ED973"/>
              <w:left w:val="nil"/>
              <w:bottom w:val="nil"/>
              <w:right w:val="nil"/>
            </w:tcBorders>
            <w:noWrap/>
            <w:hideMark/>
          </w:tcPr>
          <w:p w14:paraId="470B30E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1360CA45"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033C6833"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F7629AB"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3FCFE5BD" w14:textId="77777777" w:rsidTr="009A58B0">
        <w:trPr>
          <w:trHeight w:val="520"/>
        </w:trPr>
        <w:tc>
          <w:tcPr>
            <w:tcW w:w="2379" w:type="pct"/>
            <w:tcBorders>
              <w:top w:val="single" w:sz="4" w:space="0" w:color="8ED973"/>
              <w:left w:val="single" w:sz="4" w:space="0" w:color="4EA72E"/>
              <w:bottom w:val="nil"/>
              <w:right w:val="nil"/>
            </w:tcBorders>
            <w:hideMark/>
          </w:tcPr>
          <w:p w14:paraId="566EDD8E"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Podíl žáků 8. tříd ZŠ s excelentními výsledky v testech matematických dovedností (TIMSS)</w:t>
            </w:r>
          </w:p>
        </w:tc>
        <w:tc>
          <w:tcPr>
            <w:tcW w:w="648" w:type="pct"/>
            <w:tcBorders>
              <w:top w:val="single" w:sz="4" w:space="0" w:color="8ED973"/>
              <w:left w:val="nil"/>
              <w:bottom w:val="nil"/>
              <w:right w:val="nil"/>
            </w:tcBorders>
            <w:noWrap/>
            <w:hideMark/>
          </w:tcPr>
          <w:p w14:paraId="7636861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nil"/>
              <w:right w:val="nil"/>
            </w:tcBorders>
            <w:noWrap/>
            <w:hideMark/>
          </w:tcPr>
          <w:p w14:paraId="24C2598D"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nil"/>
              <w:right w:val="nil"/>
            </w:tcBorders>
            <w:noWrap/>
            <w:hideMark/>
          </w:tcPr>
          <w:p w14:paraId="4EF2372F"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D3BF26C"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r w:rsidR="0024586E" w:rsidRPr="00442D99" w14:paraId="3515798E" w14:textId="77777777" w:rsidTr="009A58B0">
        <w:trPr>
          <w:trHeight w:val="520"/>
        </w:trPr>
        <w:tc>
          <w:tcPr>
            <w:tcW w:w="2379" w:type="pct"/>
            <w:tcBorders>
              <w:top w:val="single" w:sz="4" w:space="0" w:color="8ED973"/>
              <w:left w:val="single" w:sz="4" w:space="0" w:color="4EA72E"/>
              <w:bottom w:val="single" w:sz="4" w:space="0" w:color="4EA72E"/>
              <w:right w:val="nil"/>
            </w:tcBorders>
            <w:hideMark/>
          </w:tcPr>
          <w:p w14:paraId="25AD4899"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lastRenderedPageBreak/>
              <w:t>Podíl žáků 8. tříd ZŠ s excelentními výsledky v testech přírodovědných dovedností (TIMSS)</w:t>
            </w:r>
          </w:p>
        </w:tc>
        <w:tc>
          <w:tcPr>
            <w:tcW w:w="648" w:type="pct"/>
            <w:tcBorders>
              <w:top w:val="single" w:sz="4" w:space="0" w:color="8ED973"/>
              <w:left w:val="nil"/>
              <w:bottom w:val="single" w:sz="4" w:space="0" w:color="4EA72E"/>
              <w:right w:val="nil"/>
            </w:tcBorders>
            <w:noWrap/>
            <w:hideMark/>
          </w:tcPr>
          <w:p w14:paraId="03C6CD4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Nerovnosti</w:t>
            </w:r>
          </w:p>
        </w:tc>
        <w:tc>
          <w:tcPr>
            <w:tcW w:w="1191" w:type="pct"/>
            <w:tcBorders>
              <w:top w:val="single" w:sz="4" w:space="0" w:color="8ED973"/>
              <w:left w:val="nil"/>
              <w:bottom w:val="single" w:sz="4" w:space="0" w:color="4EA72E"/>
              <w:right w:val="nil"/>
            </w:tcBorders>
            <w:noWrap/>
            <w:hideMark/>
          </w:tcPr>
          <w:p w14:paraId="7CBD0EE0"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Žáci v dovednostních úrovních</w:t>
            </w:r>
          </w:p>
        </w:tc>
        <w:tc>
          <w:tcPr>
            <w:tcW w:w="541" w:type="pct"/>
            <w:tcBorders>
              <w:top w:val="single" w:sz="4" w:space="0" w:color="8ED973"/>
              <w:left w:val="nil"/>
              <w:bottom w:val="single" w:sz="4" w:space="0" w:color="4EA72E"/>
              <w:right w:val="nil"/>
            </w:tcBorders>
            <w:noWrap/>
            <w:hideMark/>
          </w:tcPr>
          <w:p w14:paraId="7BF0A686"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ZŠ</w:t>
            </w:r>
          </w:p>
        </w:tc>
        <w:tc>
          <w:tcPr>
            <w:tcW w:w="241" w:type="pct"/>
            <w:tcBorders>
              <w:top w:val="single" w:sz="4" w:space="0" w:color="8ED973"/>
              <w:left w:val="nil"/>
              <w:bottom w:val="single" w:sz="4" w:space="0" w:color="4EA72E"/>
              <w:right w:val="single" w:sz="4" w:space="0" w:color="4EA72E"/>
            </w:tcBorders>
            <w:noWrap/>
            <w:hideMark/>
          </w:tcPr>
          <w:p w14:paraId="5A316C52" w14:textId="77777777" w:rsidR="0024586E" w:rsidRPr="00442D99" w:rsidRDefault="0024586E" w:rsidP="009574F4">
            <w:pPr>
              <w:spacing w:after="0"/>
              <w:rPr>
                <w:rFonts w:eastAsia="Times New Roman" w:cs="Calibri"/>
                <w:color w:val="000000"/>
                <w:sz w:val="20"/>
                <w:szCs w:val="20"/>
                <w:lang w:eastAsia="cs-CZ"/>
              </w:rPr>
            </w:pPr>
            <w:r w:rsidRPr="00442D99">
              <w:rPr>
                <w:rFonts w:eastAsia="Times New Roman" w:cs="Calibri"/>
                <w:color w:val="000000"/>
                <w:sz w:val="20"/>
                <w:szCs w:val="20"/>
                <w:lang w:eastAsia="cs-CZ"/>
              </w:rPr>
              <w:t>14</w:t>
            </w:r>
          </w:p>
        </w:tc>
      </w:tr>
    </w:tbl>
    <w:p w14:paraId="13E5086B" w14:textId="77777777" w:rsidR="0024586E" w:rsidRDefault="0024586E" w:rsidP="0024586E">
      <w:pPr>
        <w:jc w:val="both"/>
      </w:pPr>
    </w:p>
    <w:p w14:paraId="42681752" w14:textId="77777777" w:rsidR="00D96059" w:rsidRDefault="00D96059">
      <w:pPr>
        <w:spacing w:line="276" w:lineRule="auto"/>
        <w:rPr>
          <w:rFonts w:eastAsiaTheme="majorEastAsia" w:cstheme="majorBidi"/>
          <w:b/>
          <w:color w:val="4C4C4C"/>
          <w:sz w:val="24"/>
          <w:szCs w:val="23"/>
        </w:rPr>
      </w:pPr>
      <w:r>
        <w:br w:type="page"/>
      </w:r>
    </w:p>
    <w:p w14:paraId="54809D74" w14:textId="25C99BBB" w:rsidR="0024586E" w:rsidRDefault="0024586E" w:rsidP="0024586E">
      <w:pPr>
        <w:pStyle w:val="Nadpis4"/>
        <w:rPr>
          <w:b w:val="0"/>
        </w:rPr>
      </w:pPr>
      <w:r>
        <w:lastRenderedPageBreak/>
        <w:t>Ústecký kraj</w:t>
      </w:r>
    </w:p>
    <w:p w14:paraId="652547E6" w14:textId="77777777" w:rsidR="0024586E" w:rsidRDefault="0024586E" w:rsidP="0024586E">
      <w:pPr>
        <w:jc w:val="both"/>
      </w:pPr>
      <w:r>
        <w:t xml:space="preserve">Ústecký kraj má vysoké počty úvazků asistenta pedagoga v přepočtu na počet žáků v základních a středních školách, vysoké počty úvazků nepedagogických pracovníků a vysoký podíl nekvalifikovaných učitelů ve středních školách. V mateřských školách je nízký počet dětí na učitele. V kraji je nízký podíl malých a malotřídních základních škol. Podíl dětí, které docházejí do předškolního vzdělávání, je nízký. Je zde vysoký podíl žáků, kteří nastupují do ZŠ s odkladem povinné školní docházky. Nízký je také podíl žáků, kteří docházejí do školní družiny. Míra odchodů na víceletá gymnázia a konzervatoře je nízká. Mezi absolventy středních škol je vysoký podíl absolventů oborů s výučním listem. Podíl žáků aspirujících na maturitní vzdělání je nízký. Vysoký je podíl žáků s lehkým mentálním postižením v ZŠ, v MŠ je vysoký podíl dětí se zdravotním znevýhodněním. V základním vzdělávání je vysoký podíl žáků ve speciálních třídách. V MŠ a SŠ je vysoký podíl žáků s přiznaným podpůrným opatřením s kódem NFN. </w:t>
      </w:r>
      <w:r w:rsidRPr="00362A6E">
        <w:t>Výsledky vzdělávání jsou slabé. Nízký je podíl úspěšných maturantů a ve srovnání s ostatními kraji jsou nízké také výsledky žáků v národním testování i v mezinárodních šetřeních.</w:t>
      </w:r>
      <w:r>
        <w:t xml:space="preserve"> V základním i středním vzdělávání je vysoká míra opakování ročníku. Vysoký je podíl žáků odcházejících ze základní školy bez dokončeného stupně vzdělání i počet absolventů ZŠ, kteří nepokračují dále ve studiu na SŠ. Podíl žáků, kteří odcházejí ze středních škol během studia, je vysoký. </w:t>
      </w:r>
    </w:p>
    <w:tbl>
      <w:tblPr>
        <w:tblW w:w="5000" w:type="pct"/>
        <w:tblCellMar>
          <w:left w:w="70" w:type="dxa"/>
          <w:right w:w="70" w:type="dxa"/>
        </w:tblCellMar>
        <w:tblLook w:val="04A0" w:firstRow="1" w:lastRow="0" w:firstColumn="1" w:lastColumn="0" w:noHBand="0" w:noVBand="1"/>
      </w:tblPr>
      <w:tblGrid>
        <w:gridCol w:w="6794"/>
        <w:gridCol w:w="1853"/>
        <w:gridCol w:w="3398"/>
        <w:gridCol w:w="1550"/>
        <w:gridCol w:w="681"/>
      </w:tblGrid>
      <w:tr w:rsidR="0024586E" w:rsidRPr="00FE5073" w14:paraId="5D5964AC" w14:textId="77777777" w:rsidTr="009A58B0">
        <w:trPr>
          <w:trHeight w:val="290"/>
          <w:tblHeader/>
        </w:trPr>
        <w:tc>
          <w:tcPr>
            <w:tcW w:w="2380" w:type="pct"/>
            <w:tcBorders>
              <w:top w:val="single" w:sz="4" w:space="0" w:color="8ED973"/>
              <w:left w:val="single" w:sz="4" w:space="0" w:color="4EA72E"/>
              <w:bottom w:val="nil"/>
              <w:right w:val="nil"/>
            </w:tcBorders>
            <w:shd w:val="clear" w:color="4EA72E" w:fill="4EA72E"/>
            <w:vAlign w:val="bottom"/>
            <w:hideMark/>
          </w:tcPr>
          <w:p w14:paraId="62443DCF" w14:textId="77777777" w:rsidR="0024586E" w:rsidRPr="00FE5073" w:rsidRDefault="0024586E" w:rsidP="009574F4">
            <w:pPr>
              <w:spacing w:after="0"/>
              <w:rPr>
                <w:rFonts w:eastAsia="Times New Roman" w:cs="Calibri"/>
                <w:b/>
                <w:bCs/>
                <w:color w:val="FFFFFF"/>
                <w:sz w:val="20"/>
                <w:szCs w:val="20"/>
                <w:lang w:eastAsia="cs-CZ"/>
              </w:rPr>
            </w:pPr>
            <w:r w:rsidRPr="00FE5073">
              <w:rPr>
                <w:rFonts w:eastAsia="Times New Roman" w:cs="Calibri"/>
                <w:b/>
                <w:bCs/>
                <w:color w:val="FFFFFF"/>
                <w:sz w:val="20"/>
                <w:szCs w:val="20"/>
                <w:lang w:eastAsia="cs-CZ"/>
              </w:rPr>
              <w:t>Název údaje</w:t>
            </w:r>
          </w:p>
        </w:tc>
        <w:tc>
          <w:tcPr>
            <w:tcW w:w="649" w:type="pct"/>
            <w:tcBorders>
              <w:top w:val="single" w:sz="4" w:space="0" w:color="8ED973"/>
              <w:left w:val="nil"/>
              <w:bottom w:val="nil"/>
              <w:right w:val="nil"/>
            </w:tcBorders>
            <w:shd w:val="clear" w:color="4EA72E" w:fill="4EA72E"/>
            <w:noWrap/>
            <w:vAlign w:val="bottom"/>
            <w:hideMark/>
          </w:tcPr>
          <w:p w14:paraId="6F0426AE" w14:textId="77777777" w:rsidR="0024586E" w:rsidRPr="00FE5073" w:rsidRDefault="0024586E" w:rsidP="009574F4">
            <w:pPr>
              <w:spacing w:after="0"/>
              <w:rPr>
                <w:rFonts w:eastAsia="Times New Roman" w:cs="Calibri"/>
                <w:b/>
                <w:bCs/>
                <w:color w:val="FFFFFF"/>
                <w:sz w:val="20"/>
                <w:szCs w:val="20"/>
                <w:lang w:eastAsia="cs-CZ"/>
              </w:rPr>
            </w:pPr>
            <w:r w:rsidRPr="00FE5073">
              <w:rPr>
                <w:rFonts w:eastAsia="Times New Roman" w:cs="Calibri"/>
                <w:b/>
                <w:bCs/>
                <w:color w:val="FFFFFF"/>
                <w:sz w:val="20"/>
                <w:szCs w:val="20"/>
                <w:lang w:eastAsia="cs-CZ"/>
              </w:rPr>
              <w:t>Oblast</w:t>
            </w:r>
          </w:p>
        </w:tc>
        <w:tc>
          <w:tcPr>
            <w:tcW w:w="1190" w:type="pct"/>
            <w:tcBorders>
              <w:top w:val="single" w:sz="4" w:space="0" w:color="8ED973"/>
              <w:left w:val="nil"/>
              <w:bottom w:val="nil"/>
              <w:right w:val="nil"/>
            </w:tcBorders>
            <w:shd w:val="clear" w:color="4EA72E" w:fill="4EA72E"/>
            <w:noWrap/>
            <w:vAlign w:val="bottom"/>
            <w:hideMark/>
          </w:tcPr>
          <w:p w14:paraId="0D4CE46A" w14:textId="77777777" w:rsidR="0024586E" w:rsidRPr="00FE5073" w:rsidRDefault="0024586E" w:rsidP="009574F4">
            <w:pPr>
              <w:spacing w:after="0"/>
              <w:rPr>
                <w:rFonts w:eastAsia="Times New Roman" w:cs="Calibri"/>
                <w:b/>
                <w:bCs/>
                <w:color w:val="FFFFFF"/>
                <w:sz w:val="20"/>
                <w:szCs w:val="20"/>
                <w:lang w:eastAsia="cs-CZ"/>
              </w:rPr>
            </w:pPr>
            <w:r w:rsidRPr="00FE5073">
              <w:rPr>
                <w:rFonts w:eastAsia="Times New Roman" w:cs="Calibri"/>
                <w:b/>
                <w:bCs/>
                <w:color w:val="FFFFFF"/>
                <w:sz w:val="20"/>
                <w:szCs w:val="20"/>
                <w:lang w:eastAsia="cs-CZ"/>
              </w:rPr>
              <w:t>Podoblast</w:t>
            </w:r>
          </w:p>
        </w:tc>
        <w:tc>
          <w:tcPr>
            <w:tcW w:w="543" w:type="pct"/>
            <w:tcBorders>
              <w:top w:val="single" w:sz="4" w:space="0" w:color="8ED973"/>
              <w:left w:val="nil"/>
              <w:bottom w:val="nil"/>
              <w:right w:val="nil"/>
            </w:tcBorders>
            <w:shd w:val="clear" w:color="4EA72E" w:fill="4EA72E"/>
            <w:noWrap/>
            <w:vAlign w:val="bottom"/>
            <w:hideMark/>
          </w:tcPr>
          <w:p w14:paraId="59E36C15" w14:textId="77777777" w:rsidR="0024586E" w:rsidRPr="00FE5073" w:rsidRDefault="0024586E" w:rsidP="009574F4">
            <w:pPr>
              <w:spacing w:after="0"/>
              <w:rPr>
                <w:rFonts w:eastAsia="Times New Roman" w:cs="Calibri"/>
                <w:b/>
                <w:bCs/>
                <w:color w:val="FFFFFF"/>
                <w:sz w:val="20"/>
                <w:szCs w:val="20"/>
                <w:lang w:eastAsia="cs-CZ"/>
              </w:rPr>
            </w:pPr>
            <w:r w:rsidRPr="00FE5073">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04B6369A" w14:textId="77777777" w:rsidR="0024586E" w:rsidRPr="00FE5073" w:rsidRDefault="0024586E" w:rsidP="009574F4">
            <w:pPr>
              <w:spacing w:after="0"/>
              <w:rPr>
                <w:rFonts w:eastAsia="Times New Roman" w:cs="Calibri"/>
                <w:b/>
                <w:bCs/>
                <w:color w:val="FFFFFF"/>
                <w:sz w:val="20"/>
                <w:szCs w:val="20"/>
                <w:lang w:eastAsia="cs-CZ"/>
              </w:rPr>
            </w:pPr>
            <w:r w:rsidRPr="00FE5073">
              <w:rPr>
                <w:rFonts w:eastAsia="Times New Roman" w:cs="Calibri"/>
                <w:b/>
                <w:bCs/>
                <w:color w:val="FFFFFF"/>
                <w:sz w:val="20"/>
                <w:szCs w:val="20"/>
                <w:lang w:eastAsia="cs-CZ"/>
              </w:rPr>
              <w:t>Pořadí</w:t>
            </w:r>
          </w:p>
        </w:tc>
      </w:tr>
      <w:tr w:rsidR="0024586E" w:rsidRPr="00FE5073" w14:paraId="5E422E3F" w14:textId="77777777" w:rsidTr="009A58B0">
        <w:trPr>
          <w:trHeight w:val="290"/>
        </w:trPr>
        <w:tc>
          <w:tcPr>
            <w:tcW w:w="2380" w:type="pct"/>
            <w:tcBorders>
              <w:top w:val="single" w:sz="4" w:space="0" w:color="8ED973"/>
              <w:left w:val="single" w:sz="4" w:space="0" w:color="4EA72E"/>
              <w:bottom w:val="nil"/>
              <w:right w:val="nil"/>
            </w:tcBorders>
            <w:hideMark/>
          </w:tcPr>
          <w:p w14:paraId="4977F33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Počet úvazků asistenta pedagoga v ZŠ na 10 tis. žáků</w:t>
            </w:r>
          </w:p>
        </w:tc>
        <w:tc>
          <w:tcPr>
            <w:tcW w:w="649" w:type="pct"/>
            <w:tcBorders>
              <w:top w:val="single" w:sz="4" w:space="0" w:color="8ED973"/>
              <w:left w:val="nil"/>
              <w:bottom w:val="nil"/>
              <w:right w:val="nil"/>
            </w:tcBorders>
            <w:noWrap/>
            <w:hideMark/>
          </w:tcPr>
          <w:p w14:paraId="19B9C7C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073174B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Další pedagogické profese/specializace</w:t>
            </w:r>
          </w:p>
        </w:tc>
        <w:tc>
          <w:tcPr>
            <w:tcW w:w="543" w:type="pct"/>
            <w:tcBorders>
              <w:top w:val="single" w:sz="4" w:space="0" w:color="8ED973"/>
              <w:left w:val="nil"/>
              <w:bottom w:val="nil"/>
              <w:right w:val="nil"/>
            </w:tcBorders>
            <w:noWrap/>
            <w:hideMark/>
          </w:tcPr>
          <w:p w14:paraId="0F56262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7038CE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F154563" w14:textId="77777777" w:rsidTr="009A58B0">
        <w:trPr>
          <w:trHeight w:val="290"/>
        </w:trPr>
        <w:tc>
          <w:tcPr>
            <w:tcW w:w="2380" w:type="pct"/>
            <w:tcBorders>
              <w:top w:val="single" w:sz="4" w:space="0" w:color="8ED973"/>
              <w:left w:val="single" w:sz="4" w:space="0" w:color="4EA72E"/>
              <w:bottom w:val="nil"/>
              <w:right w:val="nil"/>
            </w:tcBorders>
            <w:hideMark/>
          </w:tcPr>
          <w:p w14:paraId="2BF5121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Počet úvazků asistenta pedagoga v SŠ na 10 tis. žáků</w:t>
            </w:r>
          </w:p>
        </w:tc>
        <w:tc>
          <w:tcPr>
            <w:tcW w:w="649" w:type="pct"/>
            <w:tcBorders>
              <w:top w:val="single" w:sz="4" w:space="0" w:color="8ED973"/>
              <w:left w:val="nil"/>
              <w:bottom w:val="nil"/>
              <w:right w:val="nil"/>
            </w:tcBorders>
            <w:noWrap/>
            <w:hideMark/>
          </w:tcPr>
          <w:p w14:paraId="73C4933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5751678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Další pedagogické profese/specializace</w:t>
            </w:r>
          </w:p>
        </w:tc>
        <w:tc>
          <w:tcPr>
            <w:tcW w:w="543" w:type="pct"/>
            <w:tcBorders>
              <w:top w:val="single" w:sz="4" w:space="0" w:color="8ED973"/>
              <w:left w:val="nil"/>
              <w:bottom w:val="nil"/>
              <w:right w:val="nil"/>
            </w:tcBorders>
            <w:noWrap/>
            <w:hideMark/>
          </w:tcPr>
          <w:p w14:paraId="68FE3E5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7CAACA0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5FC8F68B" w14:textId="77777777" w:rsidTr="009A58B0">
        <w:trPr>
          <w:trHeight w:val="290"/>
        </w:trPr>
        <w:tc>
          <w:tcPr>
            <w:tcW w:w="2380" w:type="pct"/>
            <w:tcBorders>
              <w:top w:val="single" w:sz="4" w:space="0" w:color="8ED973"/>
              <w:left w:val="single" w:sz="4" w:space="0" w:color="4EA72E"/>
              <w:bottom w:val="nil"/>
              <w:right w:val="nil"/>
            </w:tcBorders>
            <w:hideMark/>
          </w:tcPr>
          <w:p w14:paraId="2E13AE8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Počet úvazků skupiny nepedagogických zaměstnanců v MŠ na 10 tis. dětí</w:t>
            </w:r>
          </w:p>
        </w:tc>
        <w:tc>
          <w:tcPr>
            <w:tcW w:w="649" w:type="pct"/>
            <w:tcBorders>
              <w:top w:val="single" w:sz="4" w:space="0" w:color="8ED973"/>
              <w:left w:val="nil"/>
              <w:bottom w:val="nil"/>
              <w:right w:val="nil"/>
            </w:tcBorders>
            <w:noWrap/>
            <w:hideMark/>
          </w:tcPr>
          <w:p w14:paraId="441B101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5D44174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Nepedagogické profese</w:t>
            </w:r>
          </w:p>
        </w:tc>
        <w:tc>
          <w:tcPr>
            <w:tcW w:w="543" w:type="pct"/>
            <w:tcBorders>
              <w:top w:val="single" w:sz="4" w:space="0" w:color="8ED973"/>
              <w:left w:val="nil"/>
              <w:bottom w:val="nil"/>
              <w:right w:val="nil"/>
            </w:tcBorders>
            <w:noWrap/>
            <w:hideMark/>
          </w:tcPr>
          <w:p w14:paraId="183E7E2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307A52D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03A599CA" w14:textId="77777777" w:rsidTr="009A58B0">
        <w:trPr>
          <w:trHeight w:val="290"/>
        </w:trPr>
        <w:tc>
          <w:tcPr>
            <w:tcW w:w="2380" w:type="pct"/>
            <w:tcBorders>
              <w:top w:val="single" w:sz="4" w:space="0" w:color="8ED973"/>
              <w:left w:val="single" w:sz="4" w:space="0" w:color="4EA72E"/>
              <w:bottom w:val="nil"/>
              <w:right w:val="nil"/>
            </w:tcBorders>
            <w:hideMark/>
          </w:tcPr>
          <w:p w14:paraId="3BA716A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Počet úvazků skupiny nepedagogických zaměstnanců v SŠ na 10 tis. žáků</w:t>
            </w:r>
          </w:p>
        </w:tc>
        <w:tc>
          <w:tcPr>
            <w:tcW w:w="649" w:type="pct"/>
            <w:tcBorders>
              <w:top w:val="single" w:sz="4" w:space="0" w:color="8ED973"/>
              <w:left w:val="nil"/>
              <w:bottom w:val="nil"/>
              <w:right w:val="nil"/>
            </w:tcBorders>
            <w:noWrap/>
            <w:hideMark/>
          </w:tcPr>
          <w:p w14:paraId="141DBF1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5437CF4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Nepedagogické profese</w:t>
            </w:r>
          </w:p>
        </w:tc>
        <w:tc>
          <w:tcPr>
            <w:tcW w:w="543" w:type="pct"/>
            <w:tcBorders>
              <w:top w:val="single" w:sz="4" w:space="0" w:color="8ED973"/>
              <w:left w:val="nil"/>
              <w:bottom w:val="nil"/>
              <w:right w:val="nil"/>
            </w:tcBorders>
            <w:noWrap/>
            <w:hideMark/>
          </w:tcPr>
          <w:p w14:paraId="7C18E54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22013D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3486B027" w14:textId="77777777" w:rsidTr="009A58B0">
        <w:trPr>
          <w:trHeight w:val="290"/>
        </w:trPr>
        <w:tc>
          <w:tcPr>
            <w:tcW w:w="2380" w:type="pct"/>
            <w:tcBorders>
              <w:top w:val="single" w:sz="4" w:space="0" w:color="8ED973"/>
              <w:left w:val="single" w:sz="4" w:space="0" w:color="4EA72E"/>
              <w:bottom w:val="nil"/>
              <w:right w:val="nil"/>
            </w:tcBorders>
            <w:hideMark/>
          </w:tcPr>
          <w:p w14:paraId="030991D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Počet úvazků skupiny nepedagogických zaměstnanců v ZŠ na 10 tis. žáků</w:t>
            </w:r>
          </w:p>
        </w:tc>
        <w:tc>
          <w:tcPr>
            <w:tcW w:w="649" w:type="pct"/>
            <w:tcBorders>
              <w:top w:val="single" w:sz="4" w:space="0" w:color="8ED973"/>
              <w:left w:val="nil"/>
              <w:bottom w:val="nil"/>
              <w:right w:val="nil"/>
            </w:tcBorders>
            <w:noWrap/>
            <w:hideMark/>
          </w:tcPr>
          <w:p w14:paraId="212C5BB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3DC846D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Nepedagogické profese</w:t>
            </w:r>
          </w:p>
        </w:tc>
        <w:tc>
          <w:tcPr>
            <w:tcW w:w="543" w:type="pct"/>
            <w:tcBorders>
              <w:top w:val="single" w:sz="4" w:space="0" w:color="8ED973"/>
              <w:left w:val="nil"/>
              <w:bottom w:val="nil"/>
              <w:right w:val="nil"/>
            </w:tcBorders>
            <w:noWrap/>
            <w:hideMark/>
          </w:tcPr>
          <w:p w14:paraId="475192A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F73B22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48C491E5" w14:textId="77777777" w:rsidTr="009A58B0">
        <w:trPr>
          <w:trHeight w:val="290"/>
        </w:trPr>
        <w:tc>
          <w:tcPr>
            <w:tcW w:w="2380" w:type="pct"/>
            <w:tcBorders>
              <w:top w:val="single" w:sz="4" w:space="0" w:color="8ED973"/>
              <w:left w:val="single" w:sz="4" w:space="0" w:color="4EA72E"/>
              <w:bottom w:val="nil"/>
              <w:right w:val="nil"/>
            </w:tcBorders>
            <w:hideMark/>
          </w:tcPr>
          <w:p w14:paraId="2E20992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nekvalifikovaných učitelů SŠ</w:t>
            </w:r>
          </w:p>
        </w:tc>
        <w:tc>
          <w:tcPr>
            <w:tcW w:w="649" w:type="pct"/>
            <w:tcBorders>
              <w:top w:val="single" w:sz="4" w:space="0" w:color="8ED973"/>
              <w:left w:val="nil"/>
              <w:bottom w:val="nil"/>
              <w:right w:val="nil"/>
            </w:tcBorders>
            <w:noWrap/>
            <w:hideMark/>
          </w:tcPr>
          <w:p w14:paraId="33A0C7A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3A186B5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Učitelé</w:t>
            </w:r>
          </w:p>
        </w:tc>
        <w:tc>
          <w:tcPr>
            <w:tcW w:w="543" w:type="pct"/>
            <w:tcBorders>
              <w:top w:val="single" w:sz="4" w:space="0" w:color="8ED973"/>
              <w:left w:val="nil"/>
              <w:bottom w:val="nil"/>
              <w:right w:val="nil"/>
            </w:tcBorders>
            <w:noWrap/>
            <w:hideMark/>
          </w:tcPr>
          <w:p w14:paraId="55DAFDB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4D441AC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1DA1B218" w14:textId="77777777" w:rsidTr="009A58B0">
        <w:trPr>
          <w:trHeight w:val="290"/>
        </w:trPr>
        <w:tc>
          <w:tcPr>
            <w:tcW w:w="2380" w:type="pct"/>
            <w:tcBorders>
              <w:top w:val="single" w:sz="4" w:space="0" w:color="8ED973"/>
              <w:left w:val="single" w:sz="4" w:space="0" w:color="4EA72E"/>
              <w:bottom w:val="nil"/>
              <w:right w:val="nil"/>
            </w:tcBorders>
            <w:hideMark/>
          </w:tcPr>
          <w:p w14:paraId="381DE83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Počet dětí na učitele v MŠ běžných zřizovaných obcí</w:t>
            </w:r>
          </w:p>
        </w:tc>
        <w:tc>
          <w:tcPr>
            <w:tcW w:w="649" w:type="pct"/>
            <w:tcBorders>
              <w:top w:val="single" w:sz="4" w:space="0" w:color="8ED973"/>
              <w:left w:val="nil"/>
              <w:bottom w:val="nil"/>
              <w:right w:val="nil"/>
            </w:tcBorders>
            <w:noWrap/>
            <w:hideMark/>
          </w:tcPr>
          <w:p w14:paraId="6E6260A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Pracovníci ve školství</w:t>
            </w:r>
          </w:p>
        </w:tc>
        <w:tc>
          <w:tcPr>
            <w:tcW w:w="1190" w:type="pct"/>
            <w:tcBorders>
              <w:top w:val="single" w:sz="4" w:space="0" w:color="8ED973"/>
              <w:left w:val="nil"/>
              <w:bottom w:val="nil"/>
              <w:right w:val="nil"/>
            </w:tcBorders>
            <w:noWrap/>
            <w:hideMark/>
          </w:tcPr>
          <w:p w14:paraId="4F226B8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Učitelé</w:t>
            </w:r>
          </w:p>
        </w:tc>
        <w:tc>
          <w:tcPr>
            <w:tcW w:w="543" w:type="pct"/>
            <w:tcBorders>
              <w:top w:val="single" w:sz="4" w:space="0" w:color="8ED973"/>
              <w:left w:val="nil"/>
              <w:bottom w:val="nil"/>
              <w:right w:val="nil"/>
            </w:tcBorders>
            <w:noWrap/>
            <w:hideMark/>
          </w:tcPr>
          <w:p w14:paraId="76845FA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4F557CC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4E32A6D6" w14:textId="77777777" w:rsidTr="009A58B0">
        <w:trPr>
          <w:trHeight w:val="290"/>
        </w:trPr>
        <w:tc>
          <w:tcPr>
            <w:tcW w:w="2380" w:type="pct"/>
            <w:tcBorders>
              <w:top w:val="single" w:sz="4" w:space="0" w:color="8ED973"/>
              <w:left w:val="single" w:sz="4" w:space="0" w:color="4EA72E"/>
              <w:bottom w:val="nil"/>
              <w:right w:val="nil"/>
            </w:tcBorders>
            <w:hideMark/>
          </w:tcPr>
          <w:p w14:paraId="5F3A129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vzdělávajících se v malotřídních ZŠ</w:t>
            </w:r>
          </w:p>
        </w:tc>
        <w:tc>
          <w:tcPr>
            <w:tcW w:w="649" w:type="pct"/>
            <w:tcBorders>
              <w:top w:val="single" w:sz="4" w:space="0" w:color="8ED973"/>
              <w:left w:val="nil"/>
              <w:bottom w:val="nil"/>
              <w:right w:val="nil"/>
            </w:tcBorders>
            <w:noWrap/>
            <w:hideMark/>
          </w:tcPr>
          <w:p w14:paraId="51E81CD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Školy a zřizovatelé</w:t>
            </w:r>
          </w:p>
        </w:tc>
        <w:tc>
          <w:tcPr>
            <w:tcW w:w="1190" w:type="pct"/>
            <w:tcBorders>
              <w:top w:val="single" w:sz="4" w:space="0" w:color="8ED973"/>
              <w:left w:val="nil"/>
              <w:bottom w:val="nil"/>
              <w:right w:val="nil"/>
            </w:tcBorders>
            <w:noWrap/>
            <w:hideMark/>
          </w:tcPr>
          <w:p w14:paraId="50A688B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Zřizovatelé</w:t>
            </w:r>
          </w:p>
        </w:tc>
        <w:tc>
          <w:tcPr>
            <w:tcW w:w="543" w:type="pct"/>
            <w:tcBorders>
              <w:top w:val="single" w:sz="4" w:space="0" w:color="8ED973"/>
              <w:left w:val="nil"/>
              <w:bottom w:val="nil"/>
              <w:right w:val="nil"/>
            </w:tcBorders>
            <w:noWrap/>
            <w:hideMark/>
          </w:tcPr>
          <w:p w14:paraId="1FD6D76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013445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078B01B2" w14:textId="77777777" w:rsidTr="009A58B0">
        <w:trPr>
          <w:trHeight w:val="290"/>
        </w:trPr>
        <w:tc>
          <w:tcPr>
            <w:tcW w:w="2380" w:type="pct"/>
            <w:tcBorders>
              <w:top w:val="single" w:sz="4" w:space="0" w:color="8ED973"/>
              <w:left w:val="single" w:sz="4" w:space="0" w:color="4EA72E"/>
              <w:bottom w:val="nil"/>
              <w:right w:val="nil"/>
            </w:tcBorders>
            <w:hideMark/>
          </w:tcPr>
          <w:p w14:paraId="08372DA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veřejných základních škol do 50 žáků včetně</w:t>
            </w:r>
          </w:p>
        </w:tc>
        <w:tc>
          <w:tcPr>
            <w:tcW w:w="649" w:type="pct"/>
            <w:tcBorders>
              <w:top w:val="single" w:sz="4" w:space="0" w:color="8ED973"/>
              <w:left w:val="nil"/>
              <w:bottom w:val="nil"/>
              <w:right w:val="nil"/>
            </w:tcBorders>
            <w:noWrap/>
            <w:hideMark/>
          </w:tcPr>
          <w:p w14:paraId="47DFCF5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Školy a zřizovatelé</w:t>
            </w:r>
          </w:p>
        </w:tc>
        <w:tc>
          <w:tcPr>
            <w:tcW w:w="1190" w:type="pct"/>
            <w:tcBorders>
              <w:top w:val="single" w:sz="4" w:space="0" w:color="8ED973"/>
              <w:left w:val="nil"/>
              <w:bottom w:val="nil"/>
              <w:right w:val="nil"/>
            </w:tcBorders>
            <w:noWrap/>
            <w:hideMark/>
          </w:tcPr>
          <w:p w14:paraId="7022FF3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Zřizovatelé</w:t>
            </w:r>
          </w:p>
        </w:tc>
        <w:tc>
          <w:tcPr>
            <w:tcW w:w="543" w:type="pct"/>
            <w:tcBorders>
              <w:top w:val="single" w:sz="4" w:space="0" w:color="8ED973"/>
              <w:left w:val="nil"/>
              <w:bottom w:val="nil"/>
              <w:right w:val="nil"/>
            </w:tcBorders>
            <w:noWrap/>
            <w:hideMark/>
          </w:tcPr>
          <w:p w14:paraId="09A6F34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4CF80B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60C7F0C4" w14:textId="77777777" w:rsidTr="009A58B0">
        <w:trPr>
          <w:trHeight w:val="290"/>
        </w:trPr>
        <w:tc>
          <w:tcPr>
            <w:tcW w:w="2380" w:type="pct"/>
            <w:tcBorders>
              <w:top w:val="single" w:sz="4" w:space="0" w:color="8ED973"/>
              <w:left w:val="single" w:sz="4" w:space="0" w:color="4EA72E"/>
              <w:bottom w:val="nil"/>
              <w:right w:val="nil"/>
            </w:tcBorders>
            <w:hideMark/>
          </w:tcPr>
          <w:p w14:paraId="7ACCC92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absolventů středního vzdělávání s výučním listem v denní formě vzdělávání</w:t>
            </w:r>
          </w:p>
        </w:tc>
        <w:tc>
          <w:tcPr>
            <w:tcW w:w="649" w:type="pct"/>
            <w:tcBorders>
              <w:top w:val="single" w:sz="4" w:space="0" w:color="8ED973"/>
              <w:left w:val="nil"/>
              <w:bottom w:val="nil"/>
              <w:right w:val="nil"/>
            </w:tcBorders>
            <w:noWrap/>
            <w:hideMark/>
          </w:tcPr>
          <w:p w14:paraId="1D4CCB0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2616D0C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Absolventi</w:t>
            </w:r>
          </w:p>
        </w:tc>
        <w:tc>
          <w:tcPr>
            <w:tcW w:w="543" w:type="pct"/>
            <w:tcBorders>
              <w:top w:val="single" w:sz="4" w:space="0" w:color="8ED973"/>
              <w:left w:val="nil"/>
              <w:bottom w:val="nil"/>
              <w:right w:val="nil"/>
            </w:tcBorders>
            <w:noWrap/>
            <w:hideMark/>
          </w:tcPr>
          <w:p w14:paraId="5454ED7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927A3E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47630B90" w14:textId="77777777" w:rsidTr="009A58B0">
        <w:trPr>
          <w:trHeight w:val="290"/>
        </w:trPr>
        <w:tc>
          <w:tcPr>
            <w:tcW w:w="2380" w:type="pct"/>
            <w:tcBorders>
              <w:top w:val="single" w:sz="4" w:space="0" w:color="8ED973"/>
              <w:left w:val="single" w:sz="4" w:space="0" w:color="4EA72E"/>
              <w:bottom w:val="nil"/>
              <w:right w:val="nil"/>
            </w:tcBorders>
            <w:hideMark/>
          </w:tcPr>
          <w:p w14:paraId="716C883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nastupujících do 1. ročníku ZŠ s odkladem povinné školní docházky</w:t>
            </w:r>
          </w:p>
        </w:tc>
        <w:tc>
          <w:tcPr>
            <w:tcW w:w="649" w:type="pct"/>
            <w:tcBorders>
              <w:top w:val="single" w:sz="4" w:space="0" w:color="8ED973"/>
              <w:left w:val="nil"/>
              <w:bottom w:val="nil"/>
              <w:right w:val="nil"/>
            </w:tcBorders>
            <w:noWrap/>
            <w:hideMark/>
          </w:tcPr>
          <w:p w14:paraId="6BB266D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3621382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Přijímání ke vzdělávání</w:t>
            </w:r>
          </w:p>
        </w:tc>
        <w:tc>
          <w:tcPr>
            <w:tcW w:w="543" w:type="pct"/>
            <w:tcBorders>
              <w:top w:val="single" w:sz="4" w:space="0" w:color="8ED973"/>
              <w:left w:val="nil"/>
              <w:bottom w:val="nil"/>
              <w:right w:val="nil"/>
            </w:tcBorders>
            <w:noWrap/>
            <w:hideMark/>
          </w:tcPr>
          <w:p w14:paraId="3374F4F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8E72AD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9B77953" w14:textId="77777777" w:rsidTr="009A58B0">
        <w:trPr>
          <w:trHeight w:val="290"/>
        </w:trPr>
        <w:tc>
          <w:tcPr>
            <w:tcW w:w="2380" w:type="pct"/>
            <w:tcBorders>
              <w:top w:val="single" w:sz="4" w:space="0" w:color="8ED973"/>
              <w:left w:val="single" w:sz="4" w:space="0" w:color="4EA72E"/>
              <w:bottom w:val="nil"/>
              <w:right w:val="nil"/>
            </w:tcBorders>
            <w:hideMark/>
          </w:tcPr>
          <w:p w14:paraId="3DBF798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s lehkým mentálním postižením v běžných a speciálních třídách ZŠ</w:t>
            </w:r>
          </w:p>
        </w:tc>
        <w:tc>
          <w:tcPr>
            <w:tcW w:w="649" w:type="pct"/>
            <w:tcBorders>
              <w:top w:val="single" w:sz="4" w:space="0" w:color="8ED973"/>
              <w:left w:val="nil"/>
              <w:bottom w:val="nil"/>
              <w:right w:val="nil"/>
            </w:tcBorders>
            <w:noWrap/>
            <w:hideMark/>
          </w:tcPr>
          <w:p w14:paraId="75A58D8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6B324B7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038586F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497AC3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702330DA" w14:textId="77777777" w:rsidTr="009A58B0">
        <w:trPr>
          <w:trHeight w:val="290"/>
        </w:trPr>
        <w:tc>
          <w:tcPr>
            <w:tcW w:w="2380" w:type="pct"/>
            <w:tcBorders>
              <w:top w:val="single" w:sz="4" w:space="0" w:color="8ED973"/>
              <w:left w:val="single" w:sz="4" w:space="0" w:color="4EA72E"/>
              <w:bottom w:val="nil"/>
              <w:right w:val="nil"/>
            </w:tcBorders>
            <w:hideMark/>
          </w:tcPr>
          <w:p w14:paraId="4EB644D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dětí se zdravotním znevýhodněním vzdělávajících se v běžných třídách MŠ</w:t>
            </w:r>
          </w:p>
        </w:tc>
        <w:tc>
          <w:tcPr>
            <w:tcW w:w="649" w:type="pct"/>
            <w:tcBorders>
              <w:top w:val="single" w:sz="4" w:space="0" w:color="8ED973"/>
              <w:left w:val="nil"/>
              <w:bottom w:val="nil"/>
              <w:right w:val="nil"/>
            </w:tcBorders>
            <w:noWrap/>
            <w:hideMark/>
          </w:tcPr>
          <w:p w14:paraId="417B9DD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3E63CBC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158D566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A378CD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554E062D" w14:textId="77777777" w:rsidTr="009A58B0">
        <w:trPr>
          <w:trHeight w:val="290"/>
        </w:trPr>
        <w:tc>
          <w:tcPr>
            <w:tcW w:w="2380" w:type="pct"/>
            <w:tcBorders>
              <w:top w:val="single" w:sz="4" w:space="0" w:color="8ED973"/>
              <w:left w:val="single" w:sz="4" w:space="0" w:color="4EA72E"/>
              <w:bottom w:val="nil"/>
              <w:right w:val="nil"/>
            </w:tcBorders>
            <w:hideMark/>
          </w:tcPr>
          <w:p w14:paraId="11161B1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dětí s přiznaným podpůrným opatřením s kódem NFN v MŠ</w:t>
            </w:r>
          </w:p>
        </w:tc>
        <w:tc>
          <w:tcPr>
            <w:tcW w:w="649" w:type="pct"/>
            <w:tcBorders>
              <w:top w:val="single" w:sz="4" w:space="0" w:color="8ED973"/>
              <w:left w:val="nil"/>
              <w:bottom w:val="nil"/>
              <w:right w:val="nil"/>
            </w:tcBorders>
            <w:noWrap/>
            <w:hideMark/>
          </w:tcPr>
          <w:p w14:paraId="181A6A5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486D964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2F2A9DA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10EFA9B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1EA80ED5" w14:textId="77777777" w:rsidTr="009A58B0">
        <w:trPr>
          <w:trHeight w:val="290"/>
        </w:trPr>
        <w:tc>
          <w:tcPr>
            <w:tcW w:w="2380" w:type="pct"/>
            <w:tcBorders>
              <w:top w:val="single" w:sz="4" w:space="0" w:color="8ED973"/>
              <w:left w:val="single" w:sz="4" w:space="0" w:color="4EA72E"/>
              <w:bottom w:val="nil"/>
              <w:right w:val="nil"/>
            </w:tcBorders>
            <w:hideMark/>
          </w:tcPr>
          <w:p w14:paraId="2D4FD77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s přiznaným podpůrným opatřením s kódem NFN v SŠ</w:t>
            </w:r>
          </w:p>
        </w:tc>
        <w:tc>
          <w:tcPr>
            <w:tcW w:w="649" w:type="pct"/>
            <w:tcBorders>
              <w:top w:val="single" w:sz="4" w:space="0" w:color="8ED973"/>
              <w:left w:val="nil"/>
              <w:bottom w:val="nil"/>
              <w:right w:val="nil"/>
            </w:tcBorders>
            <w:noWrap/>
            <w:hideMark/>
          </w:tcPr>
          <w:p w14:paraId="6B0AF33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1E22254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1EFDF96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054C22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4A60873" w14:textId="77777777" w:rsidTr="009A58B0">
        <w:trPr>
          <w:trHeight w:val="290"/>
        </w:trPr>
        <w:tc>
          <w:tcPr>
            <w:tcW w:w="2380" w:type="pct"/>
            <w:tcBorders>
              <w:top w:val="single" w:sz="4" w:space="0" w:color="8ED973"/>
              <w:left w:val="single" w:sz="4" w:space="0" w:color="4EA72E"/>
              <w:bottom w:val="nil"/>
              <w:right w:val="nil"/>
            </w:tcBorders>
            <w:hideMark/>
          </w:tcPr>
          <w:p w14:paraId="304DC69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ve speciálních třídách ZŠ</w:t>
            </w:r>
          </w:p>
        </w:tc>
        <w:tc>
          <w:tcPr>
            <w:tcW w:w="649" w:type="pct"/>
            <w:tcBorders>
              <w:top w:val="single" w:sz="4" w:space="0" w:color="8ED973"/>
              <w:left w:val="nil"/>
              <w:bottom w:val="nil"/>
              <w:right w:val="nil"/>
            </w:tcBorders>
            <w:noWrap/>
            <w:hideMark/>
          </w:tcPr>
          <w:p w14:paraId="32C9489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6EF243E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5F241BE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750750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2A49BD1F" w14:textId="77777777" w:rsidTr="009A58B0">
        <w:trPr>
          <w:trHeight w:val="290"/>
        </w:trPr>
        <w:tc>
          <w:tcPr>
            <w:tcW w:w="2380" w:type="pct"/>
            <w:tcBorders>
              <w:top w:val="single" w:sz="4" w:space="0" w:color="8ED973"/>
              <w:left w:val="single" w:sz="4" w:space="0" w:color="4EA72E"/>
              <w:bottom w:val="nil"/>
              <w:right w:val="nil"/>
            </w:tcBorders>
            <w:hideMark/>
          </w:tcPr>
          <w:p w14:paraId="609EF02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Míra odchodů na víceletá gymnázia a konzervatoře</w:t>
            </w:r>
          </w:p>
        </w:tc>
        <w:tc>
          <w:tcPr>
            <w:tcW w:w="649" w:type="pct"/>
            <w:tcBorders>
              <w:top w:val="single" w:sz="4" w:space="0" w:color="8ED973"/>
              <w:left w:val="nil"/>
              <w:bottom w:val="nil"/>
              <w:right w:val="nil"/>
            </w:tcBorders>
            <w:noWrap/>
            <w:hideMark/>
          </w:tcPr>
          <w:p w14:paraId="4C6EFF5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5946DF9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0EFD3B3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23D4804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53802814" w14:textId="77777777" w:rsidTr="009A58B0">
        <w:trPr>
          <w:trHeight w:val="290"/>
        </w:trPr>
        <w:tc>
          <w:tcPr>
            <w:tcW w:w="2380" w:type="pct"/>
            <w:tcBorders>
              <w:top w:val="single" w:sz="4" w:space="0" w:color="8ED973"/>
              <w:left w:val="single" w:sz="4" w:space="0" w:color="4EA72E"/>
              <w:bottom w:val="nil"/>
              <w:right w:val="nil"/>
            </w:tcBorders>
            <w:hideMark/>
          </w:tcPr>
          <w:p w14:paraId="69E910D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dětí ve věku 3 let navštěvujících MŠ z dané věkové skupiny</w:t>
            </w:r>
          </w:p>
        </w:tc>
        <w:tc>
          <w:tcPr>
            <w:tcW w:w="649" w:type="pct"/>
            <w:tcBorders>
              <w:top w:val="single" w:sz="4" w:space="0" w:color="8ED973"/>
              <w:left w:val="nil"/>
              <w:bottom w:val="nil"/>
              <w:right w:val="nil"/>
            </w:tcBorders>
            <w:noWrap/>
            <w:hideMark/>
          </w:tcPr>
          <w:p w14:paraId="2D39273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04A2013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5614354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04BB58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5A04953C" w14:textId="77777777" w:rsidTr="009A58B0">
        <w:trPr>
          <w:trHeight w:val="290"/>
        </w:trPr>
        <w:tc>
          <w:tcPr>
            <w:tcW w:w="2380" w:type="pct"/>
            <w:tcBorders>
              <w:top w:val="single" w:sz="4" w:space="0" w:color="8ED973"/>
              <w:left w:val="single" w:sz="4" w:space="0" w:color="4EA72E"/>
              <w:bottom w:val="nil"/>
              <w:right w:val="nil"/>
            </w:tcBorders>
            <w:hideMark/>
          </w:tcPr>
          <w:p w14:paraId="768E62E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dětí ve věku 4 let navštěvujících MŠ z dané věkové skupiny</w:t>
            </w:r>
          </w:p>
        </w:tc>
        <w:tc>
          <w:tcPr>
            <w:tcW w:w="649" w:type="pct"/>
            <w:tcBorders>
              <w:top w:val="single" w:sz="4" w:space="0" w:color="8ED973"/>
              <w:left w:val="nil"/>
              <w:bottom w:val="nil"/>
              <w:right w:val="nil"/>
            </w:tcBorders>
            <w:noWrap/>
            <w:hideMark/>
          </w:tcPr>
          <w:p w14:paraId="4F75176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5A0EA79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7F407DB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824776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7D1CE010" w14:textId="77777777" w:rsidTr="009A58B0">
        <w:trPr>
          <w:trHeight w:val="290"/>
        </w:trPr>
        <w:tc>
          <w:tcPr>
            <w:tcW w:w="2380" w:type="pct"/>
            <w:tcBorders>
              <w:top w:val="single" w:sz="4" w:space="0" w:color="8ED973"/>
              <w:left w:val="single" w:sz="4" w:space="0" w:color="4EA72E"/>
              <w:bottom w:val="nil"/>
              <w:right w:val="nil"/>
            </w:tcBorders>
            <w:hideMark/>
          </w:tcPr>
          <w:p w14:paraId="7CDE063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lastRenderedPageBreak/>
              <w:t>Podíl dětí ve věku 5 let navštěvujících MŠ z dané věkové skupiny</w:t>
            </w:r>
          </w:p>
        </w:tc>
        <w:tc>
          <w:tcPr>
            <w:tcW w:w="649" w:type="pct"/>
            <w:tcBorders>
              <w:top w:val="single" w:sz="4" w:space="0" w:color="8ED973"/>
              <w:left w:val="nil"/>
              <w:bottom w:val="nil"/>
              <w:right w:val="nil"/>
            </w:tcBorders>
            <w:noWrap/>
            <w:hideMark/>
          </w:tcPr>
          <w:p w14:paraId="6CA09F7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6912FA2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1813036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C77705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5DB01C9B" w14:textId="77777777" w:rsidTr="009A58B0">
        <w:trPr>
          <w:trHeight w:val="290"/>
        </w:trPr>
        <w:tc>
          <w:tcPr>
            <w:tcW w:w="2380" w:type="pct"/>
            <w:tcBorders>
              <w:top w:val="single" w:sz="4" w:space="0" w:color="8ED973"/>
              <w:left w:val="single" w:sz="4" w:space="0" w:color="4EA72E"/>
              <w:bottom w:val="nil"/>
              <w:right w:val="nil"/>
            </w:tcBorders>
            <w:hideMark/>
          </w:tcPr>
          <w:p w14:paraId="57CCC3B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dětí ve věku 6 let navštěvujících zařízení předškolního vzdělávání z dané věkové skupiny</w:t>
            </w:r>
          </w:p>
        </w:tc>
        <w:tc>
          <w:tcPr>
            <w:tcW w:w="649" w:type="pct"/>
            <w:tcBorders>
              <w:top w:val="single" w:sz="4" w:space="0" w:color="8ED973"/>
              <w:left w:val="nil"/>
              <w:bottom w:val="nil"/>
              <w:right w:val="nil"/>
            </w:tcBorders>
            <w:noWrap/>
            <w:hideMark/>
          </w:tcPr>
          <w:p w14:paraId="657C3D2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6A42276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06EE836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07337F8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1E58E519" w14:textId="77777777" w:rsidTr="009A58B0">
        <w:trPr>
          <w:trHeight w:val="290"/>
        </w:trPr>
        <w:tc>
          <w:tcPr>
            <w:tcW w:w="2380" w:type="pct"/>
            <w:tcBorders>
              <w:top w:val="single" w:sz="4" w:space="0" w:color="8ED973"/>
              <w:left w:val="single" w:sz="4" w:space="0" w:color="4EA72E"/>
              <w:bottom w:val="nil"/>
              <w:right w:val="nil"/>
            </w:tcBorders>
            <w:hideMark/>
          </w:tcPr>
          <w:p w14:paraId="484659D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dětí ve věku 3-5 let navštěvujících předškolní vzdělávání z dané věkové skupiny</w:t>
            </w:r>
          </w:p>
        </w:tc>
        <w:tc>
          <w:tcPr>
            <w:tcW w:w="649" w:type="pct"/>
            <w:tcBorders>
              <w:top w:val="single" w:sz="4" w:space="0" w:color="8ED973"/>
              <w:left w:val="nil"/>
              <w:bottom w:val="nil"/>
              <w:right w:val="nil"/>
            </w:tcBorders>
            <w:noWrap/>
            <w:hideMark/>
          </w:tcPr>
          <w:p w14:paraId="4DF1B71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4D0AD93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343BA1E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EBE874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38128193" w14:textId="77777777" w:rsidTr="009A58B0">
        <w:trPr>
          <w:trHeight w:val="290"/>
        </w:trPr>
        <w:tc>
          <w:tcPr>
            <w:tcW w:w="2380" w:type="pct"/>
            <w:tcBorders>
              <w:top w:val="single" w:sz="4" w:space="0" w:color="8ED973"/>
              <w:left w:val="single" w:sz="4" w:space="0" w:color="4EA72E"/>
              <w:bottom w:val="nil"/>
              <w:right w:val="nil"/>
            </w:tcBorders>
            <w:hideMark/>
          </w:tcPr>
          <w:p w14:paraId="5359A10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 xml:space="preserve">Podíl žáků 1. stupně ZŠ, kteří docházejí do školní družiny </w:t>
            </w:r>
          </w:p>
        </w:tc>
        <w:tc>
          <w:tcPr>
            <w:tcW w:w="649" w:type="pct"/>
            <w:tcBorders>
              <w:top w:val="single" w:sz="4" w:space="0" w:color="8ED973"/>
              <w:left w:val="nil"/>
              <w:bottom w:val="nil"/>
              <w:right w:val="nil"/>
            </w:tcBorders>
            <w:noWrap/>
            <w:hideMark/>
          </w:tcPr>
          <w:p w14:paraId="3082BB0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224D7AD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Účastníci vzdělávání</w:t>
            </w:r>
          </w:p>
        </w:tc>
        <w:tc>
          <w:tcPr>
            <w:tcW w:w="543" w:type="pct"/>
            <w:tcBorders>
              <w:top w:val="single" w:sz="4" w:space="0" w:color="8ED973"/>
              <w:left w:val="nil"/>
              <w:bottom w:val="nil"/>
              <w:right w:val="nil"/>
            </w:tcBorders>
            <w:noWrap/>
            <w:hideMark/>
          </w:tcPr>
          <w:p w14:paraId="116F7E8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D54C4E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765AD73B" w14:textId="77777777" w:rsidTr="009A58B0">
        <w:trPr>
          <w:trHeight w:val="290"/>
        </w:trPr>
        <w:tc>
          <w:tcPr>
            <w:tcW w:w="2380" w:type="pct"/>
            <w:tcBorders>
              <w:top w:val="single" w:sz="4" w:space="0" w:color="8ED973"/>
              <w:left w:val="single" w:sz="4" w:space="0" w:color="4EA72E"/>
              <w:bottom w:val="nil"/>
              <w:right w:val="nil"/>
            </w:tcBorders>
            <w:hideMark/>
          </w:tcPr>
          <w:p w14:paraId="3901ABF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 xml:space="preserve">Podíl žáků aspirujících v JPZ na maturitní obory </w:t>
            </w:r>
          </w:p>
        </w:tc>
        <w:tc>
          <w:tcPr>
            <w:tcW w:w="649" w:type="pct"/>
            <w:tcBorders>
              <w:top w:val="single" w:sz="4" w:space="0" w:color="8ED973"/>
              <w:left w:val="nil"/>
              <w:bottom w:val="nil"/>
              <w:right w:val="nil"/>
            </w:tcBorders>
            <w:noWrap/>
            <w:hideMark/>
          </w:tcPr>
          <w:p w14:paraId="102EC1C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Účast na vzdělávání</w:t>
            </w:r>
          </w:p>
        </w:tc>
        <w:tc>
          <w:tcPr>
            <w:tcW w:w="1190" w:type="pct"/>
            <w:tcBorders>
              <w:top w:val="single" w:sz="4" w:space="0" w:color="8ED973"/>
              <w:left w:val="nil"/>
              <w:bottom w:val="nil"/>
              <w:right w:val="nil"/>
            </w:tcBorders>
            <w:noWrap/>
            <w:hideMark/>
          </w:tcPr>
          <w:p w14:paraId="6CCBC43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Vzdělanostní aspirace</w:t>
            </w:r>
          </w:p>
        </w:tc>
        <w:tc>
          <w:tcPr>
            <w:tcW w:w="543" w:type="pct"/>
            <w:tcBorders>
              <w:top w:val="single" w:sz="4" w:space="0" w:color="8ED973"/>
              <w:left w:val="nil"/>
              <w:bottom w:val="nil"/>
              <w:right w:val="nil"/>
            </w:tcBorders>
            <w:noWrap/>
            <w:hideMark/>
          </w:tcPr>
          <w:p w14:paraId="6033F15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43BE4B4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4084626B" w14:textId="77777777" w:rsidTr="009A58B0">
        <w:trPr>
          <w:trHeight w:val="290"/>
        </w:trPr>
        <w:tc>
          <w:tcPr>
            <w:tcW w:w="2380" w:type="pct"/>
            <w:tcBorders>
              <w:top w:val="single" w:sz="4" w:space="0" w:color="8ED973"/>
              <w:left w:val="single" w:sz="4" w:space="0" w:color="4EA72E"/>
              <w:bottom w:val="nil"/>
              <w:right w:val="nil"/>
            </w:tcBorders>
            <w:hideMark/>
          </w:tcPr>
          <w:p w14:paraId="15FFD69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Absolutní úspěšnost maturantů k celkovému počtu maturantů</w:t>
            </w:r>
          </w:p>
        </w:tc>
        <w:tc>
          <w:tcPr>
            <w:tcW w:w="649" w:type="pct"/>
            <w:tcBorders>
              <w:top w:val="single" w:sz="4" w:space="0" w:color="8ED973"/>
              <w:left w:val="nil"/>
              <w:bottom w:val="nil"/>
              <w:right w:val="nil"/>
            </w:tcBorders>
            <w:noWrap/>
            <w:hideMark/>
          </w:tcPr>
          <w:p w14:paraId="12D9195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2DAD929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Maturitní zkouška</w:t>
            </w:r>
          </w:p>
        </w:tc>
        <w:tc>
          <w:tcPr>
            <w:tcW w:w="543" w:type="pct"/>
            <w:tcBorders>
              <w:top w:val="single" w:sz="4" w:space="0" w:color="8ED973"/>
              <w:left w:val="nil"/>
              <w:bottom w:val="nil"/>
              <w:right w:val="nil"/>
            </w:tcBorders>
            <w:noWrap/>
            <w:hideMark/>
          </w:tcPr>
          <w:p w14:paraId="76DE8ED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31AA6F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46515A91" w14:textId="77777777" w:rsidTr="009A58B0">
        <w:trPr>
          <w:trHeight w:val="290"/>
        </w:trPr>
        <w:tc>
          <w:tcPr>
            <w:tcW w:w="2380" w:type="pct"/>
            <w:tcBorders>
              <w:top w:val="single" w:sz="4" w:space="0" w:color="8ED973"/>
              <w:left w:val="single" w:sz="4" w:space="0" w:color="4EA72E"/>
              <w:bottom w:val="nil"/>
              <w:right w:val="nil"/>
            </w:tcBorders>
            <w:hideMark/>
          </w:tcPr>
          <w:p w14:paraId="31C0730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 xml:space="preserve">Podíl úspěšných </w:t>
            </w:r>
            <w:proofErr w:type="spellStart"/>
            <w:r w:rsidRPr="00FE5073">
              <w:rPr>
                <w:rFonts w:eastAsia="Times New Roman" w:cs="Calibri"/>
                <w:color w:val="000000"/>
                <w:sz w:val="20"/>
                <w:szCs w:val="20"/>
                <w:lang w:eastAsia="cs-CZ"/>
              </w:rPr>
              <w:t>prvomaturantů</w:t>
            </w:r>
            <w:proofErr w:type="spellEnd"/>
            <w:r w:rsidRPr="00FE5073">
              <w:rPr>
                <w:rFonts w:eastAsia="Times New Roman" w:cs="Calibri"/>
                <w:color w:val="000000"/>
                <w:sz w:val="20"/>
                <w:szCs w:val="20"/>
                <w:lang w:eastAsia="cs-CZ"/>
              </w:rPr>
              <w:t xml:space="preserve"> k celkovému počtu maturantů</w:t>
            </w:r>
          </w:p>
        </w:tc>
        <w:tc>
          <w:tcPr>
            <w:tcW w:w="649" w:type="pct"/>
            <w:tcBorders>
              <w:top w:val="single" w:sz="4" w:space="0" w:color="8ED973"/>
              <w:left w:val="nil"/>
              <w:bottom w:val="nil"/>
              <w:right w:val="nil"/>
            </w:tcBorders>
            <w:noWrap/>
            <w:hideMark/>
          </w:tcPr>
          <w:p w14:paraId="3F0A547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0A5779E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Maturitní zkouška</w:t>
            </w:r>
          </w:p>
        </w:tc>
        <w:tc>
          <w:tcPr>
            <w:tcW w:w="543" w:type="pct"/>
            <w:tcBorders>
              <w:top w:val="single" w:sz="4" w:space="0" w:color="8ED973"/>
              <w:left w:val="nil"/>
              <w:bottom w:val="nil"/>
              <w:right w:val="nil"/>
            </w:tcBorders>
            <w:noWrap/>
            <w:hideMark/>
          </w:tcPr>
          <w:p w14:paraId="58EB70F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B5AD2A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641B3A06" w14:textId="77777777" w:rsidTr="009A58B0">
        <w:trPr>
          <w:trHeight w:val="290"/>
        </w:trPr>
        <w:tc>
          <w:tcPr>
            <w:tcW w:w="2380" w:type="pct"/>
            <w:tcBorders>
              <w:top w:val="single" w:sz="4" w:space="0" w:color="8ED973"/>
              <w:left w:val="single" w:sz="4" w:space="0" w:color="4EA72E"/>
              <w:bottom w:val="nil"/>
              <w:right w:val="nil"/>
            </w:tcBorders>
            <w:hideMark/>
          </w:tcPr>
          <w:p w14:paraId="3A0C421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žáků 4. tříd ZŠ v testech čtenářské dovednosti (PIRLS)</w:t>
            </w:r>
          </w:p>
        </w:tc>
        <w:tc>
          <w:tcPr>
            <w:tcW w:w="649" w:type="pct"/>
            <w:tcBorders>
              <w:top w:val="single" w:sz="4" w:space="0" w:color="8ED973"/>
              <w:left w:val="nil"/>
              <w:bottom w:val="nil"/>
              <w:right w:val="nil"/>
            </w:tcBorders>
            <w:noWrap/>
            <w:hideMark/>
          </w:tcPr>
          <w:p w14:paraId="03506F4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3FC8F6F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1BB7403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02770B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32DEDBFF" w14:textId="77777777" w:rsidTr="009A58B0">
        <w:trPr>
          <w:trHeight w:val="290"/>
        </w:trPr>
        <w:tc>
          <w:tcPr>
            <w:tcW w:w="2380" w:type="pct"/>
            <w:tcBorders>
              <w:top w:val="single" w:sz="4" w:space="0" w:color="8ED973"/>
              <w:left w:val="single" w:sz="4" w:space="0" w:color="4EA72E"/>
              <w:bottom w:val="nil"/>
              <w:right w:val="nil"/>
            </w:tcBorders>
            <w:hideMark/>
          </w:tcPr>
          <w:p w14:paraId="038DDE7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žáků 4. tříd ZŠ v testech matematické dovednosti (TIMSS)</w:t>
            </w:r>
          </w:p>
        </w:tc>
        <w:tc>
          <w:tcPr>
            <w:tcW w:w="649" w:type="pct"/>
            <w:tcBorders>
              <w:top w:val="single" w:sz="4" w:space="0" w:color="8ED973"/>
              <w:left w:val="nil"/>
              <w:bottom w:val="nil"/>
              <w:right w:val="nil"/>
            </w:tcBorders>
            <w:noWrap/>
            <w:hideMark/>
          </w:tcPr>
          <w:p w14:paraId="749C060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209FCDA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2DA13F6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E0B4EE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01F35D8B" w14:textId="77777777" w:rsidTr="009A58B0">
        <w:trPr>
          <w:trHeight w:val="290"/>
        </w:trPr>
        <w:tc>
          <w:tcPr>
            <w:tcW w:w="2380" w:type="pct"/>
            <w:tcBorders>
              <w:top w:val="single" w:sz="4" w:space="0" w:color="8ED973"/>
              <w:left w:val="single" w:sz="4" w:space="0" w:color="4EA72E"/>
              <w:bottom w:val="nil"/>
              <w:right w:val="nil"/>
            </w:tcBorders>
            <w:hideMark/>
          </w:tcPr>
          <w:p w14:paraId="2AAA849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žáků 4. tříd ZŠ v testech přírodovědné dovednosti (TIMSS)</w:t>
            </w:r>
          </w:p>
        </w:tc>
        <w:tc>
          <w:tcPr>
            <w:tcW w:w="649" w:type="pct"/>
            <w:tcBorders>
              <w:top w:val="single" w:sz="4" w:space="0" w:color="8ED973"/>
              <w:left w:val="nil"/>
              <w:bottom w:val="nil"/>
              <w:right w:val="nil"/>
            </w:tcBorders>
            <w:noWrap/>
            <w:hideMark/>
          </w:tcPr>
          <w:p w14:paraId="6AACEB6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06D056E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01A3303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C7C91D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3BDA8609" w14:textId="77777777" w:rsidTr="009A58B0">
        <w:trPr>
          <w:trHeight w:val="290"/>
        </w:trPr>
        <w:tc>
          <w:tcPr>
            <w:tcW w:w="2380" w:type="pct"/>
            <w:tcBorders>
              <w:top w:val="single" w:sz="4" w:space="0" w:color="8ED973"/>
              <w:left w:val="single" w:sz="4" w:space="0" w:color="4EA72E"/>
              <w:bottom w:val="nil"/>
              <w:right w:val="nil"/>
            </w:tcBorders>
            <w:hideMark/>
          </w:tcPr>
          <w:p w14:paraId="70584F5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žáků 8. tříd ZŠ v testech matematické dovednosti (TIMSS)</w:t>
            </w:r>
          </w:p>
        </w:tc>
        <w:tc>
          <w:tcPr>
            <w:tcW w:w="649" w:type="pct"/>
            <w:tcBorders>
              <w:top w:val="single" w:sz="4" w:space="0" w:color="8ED973"/>
              <w:left w:val="nil"/>
              <w:bottom w:val="nil"/>
              <w:right w:val="nil"/>
            </w:tcBorders>
            <w:noWrap/>
            <w:hideMark/>
          </w:tcPr>
          <w:p w14:paraId="06E7F4F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0BADF2D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2B4ACC2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F877D3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71BAF7C8" w14:textId="77777777" w:rsidTr="009A58B0">
        <w:trPr>
          <w:trHeight w:val="290"/>
        </w:trPr>
        <w:tc>
          <w:tcPr>
            <w:tcW w:w="2380" w:type="pct"/>
            <w:tcBorders>
              <w:top w:val="single" w:sz="4" w:space="0" w:color="8ED973"/>
              <w:left w:val="single" w:sz="4" w:space="0" w:color="4EA72E"/>
              <w:bottom w:val="nil"/>
              <w:right w:val="nil"/>
            </w:tcBorders>
            <w:hideMark/>
          </w:tcPr>
          <w:p w14:paraId="4954DAD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žáků 8. tříd ZŠ v testech přírodovědné dovednosti (TIMSS)</w:t>
            </w:r>
          </w:p>
        </w:tc>
        <w:tc>
          <w:tcPr>
            <w:tcW w:w="649" w:type="pct"/>
            <w:tcBorders>
              <w:top w:val="single" w:sz="4" w:space="0" w:color="8ED973"/>
              <w:left w:val="nil"/>
              <w:bottom w:val="nil"/>
              <w:right w:val="nil"/>
            </w:tcBorders>
            <w:noWrap/>
            <w:hideMark/>
          </w:tcPr>
          <w:p w14:paraId="575B4BB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6474390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59BD301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9EBAF9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52C7D91D" w14:textId="77777777" w:rsidTr="009A58B0">
        <w:trPr>
          <w:trHeight w:val="290"/>
        </w:trPr>
        <w:tc>
          <w:tcPr>
            <w:tcW w:w="2380" w:type="pct"/>
            <w:tcBorders>
              <w:top w:val="single" w:sz="4" w:space="0" w:color="8ED973"/>
              <w:left w:val="single" w:sz="4" w:space="0" w:color="4EA72E"/>
              <w:bottom w:val="nil"/>
              <w:right w:val="nil"/>
            </w:tcBorders>
            <w:hideMark/>
          </w:tcPr>
          <w:p w14:paraId="2CC0B70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15letých v testech čtenářské gramotnosti (PISA)</w:t>
            </w:r>
          </w:p>
        </w:tc>
        <w:tc>
          <w:tcPr>
            <w:tcW w:w="649" w:type="pct"/>
            <w:tcBorders>
              <w:top w:val="single" w:sz="4" w:space="0" w:color="8ED973"/>
              <w:left w:val="nil"/>
              <w:bottom w:val="nil"/>
              <w:right w:val="nil"/>
            </w:tcBorders>
            <w:noWrap/>
            <w:hideMark/>
          </w:tcPr>
          <w:p w14:paraId="78398B3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529F6FE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4994314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5344F0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30826A43" w14:textId="77777777" w:rsidTr="009A58B0">
        <w:trPr>
          <w:trHeight w:val="290"/>
        </w:trPr>
        <w:tc>
          <w:tcPr>
            <w:tcW w:w="2380" w:type="pct"/>
            <w:tcBorders>
              <w:top w:val="single" w:sz="4" w:space="0" w:color="8ED973"/>
              <w:left w:val="single" w:sz="4" w:space="0" w:color="4EA72E"/>
              <w:bottom w:val="nil"/>
              <w:right w:val="nil"/>
            </w:tcBorders>
            <w:hideMark/>
          </w:tcPr>
          <w:p w14:paraId="57E1221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Průměrný výsledek 15letých v testech matematické gramotnosti (PISA)</w:t>
            </w:r>
          </w:p>
        </w:tc>
        <w:tc>
          <w:tcPr>
            <w:tcW w:w="649" w:type="pct"/>
            <w:tcBorders>
              <w:top w:val="single" w:sz="4" w:space="0" w:color="8ED973"/>
              <w:left w:val="nil"/>
              <w:bottom w:val="nil"/>
              <w:right w:val="nil"/>
            </w:tcBorders>
            <w:noWrap/>
            <w:hideMark/>
          </w:tcPr>
          <w:p w14:paraId="72E6F16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20C6E23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Mezinárodní šetření</w:t>
            </w:r>
          </w:p>
        </w:tc>
        <w:tc>
          <w:tcPr>
            <w:tcW w:w="543" w:type="pct"/>
            <w:tcBorders>
              <w:top w:val="single" w:sz="4" w:space="0" w:color="8ED973"/>
              <w:left w:val="nil"/>
              <w:bottom w:val="nil"/>
              <w:right w:val="nil"/>
            </w:tcBorders>
            <w:noWrap/>
            <w:hideMark/>
          </w:tcPr>
          <w:p w14:paraId="08E1390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3550A8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688C7616" w14:textId="77777777" w:rsidTr="009A58B0">
        <w:trPr>
          <w:trHeight w:val="290"/>
        </w:trPr>
        <w:tc>
          <w:tcPr>
            <w:tcW w:w="2380" w:type="pct"/>
            <w:tcBorders>
              <w:top w:val="single" w:sz="4" w:space="0" w:color="8ED973"/>
              <w:left w:val="single" w:sz="4" w:space="0" w:color="4EA72E"/>
              <w:bottom w:val="nil"/>
              <w:right w:val="nil"/>
            </w:tcBorders>
            <w:hideMark/>
          </w:tcPr>
          <w:p w14:paraId="1633582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5. tříd ZŠ v českém jazyce v nejnižší úrovni výsledků (4. úroveň)</w:t>
            </w:r>
          </w:p>
        </w:tc>
        <w:tc>
          <w:tcPr>
            <w:tcW w:w="649" w:type="pct"/>
            <w:tcBorders>
              <w:top w:val="single" w:sz="4" w:space="0" w:color="8ED973"/>
              <w:left w:val="nil"/>
              <w:bottom w:val="nil"/>
              <w:right w:val="nil"/>
            </w:tcBorders>
            <w:noWrap/>
            <w:hideMark/>
          </w:tcPr>
          <w:p w14:paraId="4ACA3C9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4B82637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642D949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3A9EA4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5C8A4BDF" w14:textId="77777777" w:rsidTr="009A58B0">
        <w:trPr>
          <w:trHeight w:val="290"/>
        </w:trPr>
        <w:tc>
          <w:tcPr>
            <w:tcW w:w="2380" w:type="pct"/>
            <w:tcBorders>
              <w:top w:val="single" w:sz="4" w:space="0" w:color="8ED973"/>
              <w:left w:val="single" w:sz="4" w:space="0" w:color="4EA72E"/>
              <w:bottom w:val="nil"/>
              <w:right w:val="nil"/>
            </w:tcBorders>
            <w:hideMark/>
          </w:tcPr>
          <w:p w14:paraId="6F9B05D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5. tříd ZŠ v matematice v nejnižší úrovni výsledků (4. úroveň)</w:t>
            </w:r>
          </w:p>
        </w:tc>
        <w:tc>
          <w:tcPr>
            <w:tcW w:w="649" w:type="pct"/>
            <w:tcBorders>
              <w:top w:val="single" w:sz="4" w:space="0" w:color="8ED973"/>
              <w:left w:val="nil"/>
              <w:bottom w:val="nil"/>
              <w:right w:val="nil"/>
            </w:tcBorders>
            <w:noWrap/>
            <w:hideMark/>
          </w:tcPr>
          <w:p w14:paraId="293C709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0EB6FB3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1CD10C1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ACA437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6942002D" w14:textId="77777777" w:rsidTr="009A58B0">
        <w:trPr>
          <w:trHeight w:val="290"/>
        </w:trPr>
        <w:tc>
          <w:tcPr>
            <w:tcW w:w="2380" w:type="pct"/>
            <w:tcBorders>
              <w:top w:val="single" w:sz="4" w:space="0" w:color="8ED973"/>
              <w:left w:val="single" w:sz="4" w:space="0" w:color="4EA72E"/>
              <w:bottom w:val="nil"/>
              <w:right w:val="nil"/>
            </w:tcBorders>
            <w:hideMark/>
          </w:tcPr>
          <w:p w14:paraId="408D939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9. tříd ZŠ v českém jazyce v nejnižší úrovni výsledků (4. úroveň)</w:t>
            </w:r>
          </w:p>
        </w:tc>
        <w:tc>
          <w:tcPr>
            <w:tcW w:w="649" w:type="pct"/>
            <w:tcBorders>
              <w:top w:val="single" w:sz="4" w:space="0" w:color="8ED973"/>
              <w:left w:val="nil"/>
              <w:bottom w:val="nil"/>
              <w:right w:val="nil"/>
            </w:tcBorders>
            <w:noWrap/>
            <w:hideMark/>
          </w:tcPr>
          <w:p w14:paraId="1263B8B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16B1E21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413AE97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C1A552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33CFA47C" w14:textId="77777777" w:rsidTr="009A58B0">
        <w:trPr>
          <w:trHeight w:val="290"/>
        </w:trPr>
        <w:tc>
          <w:tcPr>
            <w:tcW w:w="2380" w:type="pct"/>
            <w:tcBorders>
              <w:top w:val="single" w:sz="4" w:space="0" w:color="8ED973"/>
              <w:left w:val="single" w:sz="4" w:space="0" w:color="4EA72E"/>
              <w:bottom w:val="nil"/>
              <w:right w:val="nil"/>
            </w:tcBorders>
            <w:hideMark/>
          </w:tcPr>
          <w:p w14:paraId="240DA8F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9. tříd ZŠ v matematice v nejnižší úrovni výsledků (4. úroveň)</w:t>
            </w:r>
          </w:p>
        </w:tc>
        <w:tc>
          <w:tcPr>
            <w:tcW w:w="649" w:type="pct"/>
            <w:tcBorders>
              <w:top w:val="single" w:sz="4" w:space="0" w:color="8ED973"/>
              <w:left w:val="nil"/>
              <w:bottom w:val="nil"/>
              <w:right w:val="nil"/>
            </w:tcBorders>
            <w:noWrap/>
            <w:hideMark/>
          </w:tcPr>
          <w:p w14:paraId="3B181E2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2749221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3BACE1F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265508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108F58EF" w14:textId="77777777" w:rsidTr="009A58B0">
        <w:trPr>
          <w:trHeight w:val="290"/>
        </w:trPr>
        <w:tc>
          <w:tcPr>
            <w:tcW w:w="2380" w:type="pct"/>
            <w:tcBorders>
              <w:top w:val="single" w:sz="4" w:space="0" w:color="8ED973"/>
              <w:left w:val="single" w:sz="4" w:space="0" w:color="4EA72E"/>
              <w:bottom w:val="nil"/>
              <w:right w:val="nil"/>
            </w:tcBorders>
            <w:hideMark/>
          </w:tcPr>
          <w:p w14:paraId="3FE607A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5. tříd ZŠ v českém jazyce v nejvyšší úrovni výsledků (1. úroveň)</w:t>
            </w:r>
          </w:p>
        </w:tc>
        <w:tc>
          <w:tcPr>
            <w:tcW w:w="649" w:type="pct"/>
            <w:tcBorders>
              <w:top w:val="single" w:sz="4" w:space="0" w:color="8ED973"/>
              <w:left w:val="nil"/>
              <w:bottom w:val="nil"/>
              <w:right w:val="nil"/>
            </w:tcBorders>
            <w:noWrap/>
            <w:hideMark/>
          </w:tcPr>
          <w:p w14:paraId="76C187D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7985E11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2019AF1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45EB69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7C68CE2F" w14:textId="77777777" w:rsidTr="009A58B0">
        <w:trPr>
          <w:trHeight w:val="290"/>
        </w:trPr>
        <w:tc>
          <w:tcPr>
            <w:tcW w:w="2380" w:type="pct"/>
            <w:tcBorders>
              <w:top w:val="single" w:sz="4" w:space="0" w:color="8ED973"/>
              <w:left w:val="single" w:sz="4" w:space="0" w:color="4EA72E"/>
              <w:bottom w:val="nil"/>
              <w:right w:val="nil"/>
            </w:tcBorders>
            <w:hideMark/>
          </w:tcPr>
          <w:p w14:paraId="6653846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5. tříd ZŠ v matematice v nejvyšší úrovni výsledků (1. úroveň)</w:t>
            </w:r>
          </w:p>
        </w:tc>
        <w:tc>
          <w:tcPr>
            <w:tcW w:w="649" w:type="pct"/>
            <w:tcBorders>
              <w:top w:val="single" w:sz="4" w:space="0" w:color="8ED973"/>
              <w:left w:val="nil"/>
              <w:bottom w:val="nil"/>
              <w:right w:val="nil"/>
            </w:tcBorders>
            <w:noWrap/>
            <w:hideMark/>
          </w:tcPr>
          <w:p w14:paraId="2D0AD9A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144DAA8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0293A70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57AA06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2EAD5673" w14:textId="77777777" w:rsidTr="009A58B0">
        <w:trPr>
          <w:trHeight w:val="290"/>
        </w:trPr>
        <w:tc>
          <w:tcPr>
            <w:tcW w:w="2380" w:type="pct"/>
            <w:tcBorders>
              <w:top w:val="single" w:sz="4" w:space="0" w:color="8ED973"/>
              <w:left w:val="single" w:sz="4" w:space="0" w:color="4EA72E"/>
              <w:bottom w:val="nil"/>
              <w:right w:val="nil"/>
            </w:tcBorders>
            <w:hideMark/>
          </w:tcPr>
          <w:p w14:paraId="5BBAE38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9. tříd ZŠ v českém jazyce v nejvyšší úrovni výsledků (1. úroveň)</w:t>
            </w:r>
          </w:p>
        </w:tc>
        <w:tc>
          <w:tcPr>
            <w:tcW w:w="649" w:type="pct"/>
            <w:tcBorders>
              <w:top w:val="single" w:sz="4" w:space="0" w:color="8ED973"/>
              <w:left w:val="nil"/>
              <w:bottom w:val="nil"/>
              <w:right w:val="nil"/>
            </w:tcBorders>
            <w:noWrap/>
            <w:hideMark/>
          </w:tcPr>
          <w:p w14:paraId="2BB76EA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371D213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738FE9F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30F57E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27395B5B" w14:textId="77777777" w:rsidTr="009A58B0">
        <w:trPr>
          <w:trHeight w:val="290"/>
        </w:trPr>
        <w:tc>
          <w:tcPr>
            <w:tcW w:w="2380" w:type="pct"/>
            <w:tcBorders>
              <w:top w:val="single" w:sz="4" w:space="0" w:color="8ED973"/>
              <w:left w:val="single" w:sz="4" w:space="0" w:color="4EA72E"/>
              <w:bottom w:val="nil"/>
              <w:right w:val="nil"/>
            </w:tcBorders>
            <w:hideMark/>
          </w:tcPr>
          <w:p w14:paraId="4ADA3F8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9. tříd ZŠ v matematice v nejvyšší úrovni výsledků (1. úroveň)</w:t>
            </w:r>
          </w:p>
        </w:tc>
        <w:tc>
          <w:tcPr>
            <w:tcW w:w="649" w:type="pct"/>
            <w:tcBorders>
              <w:top w:val="single" w:sz="4" w:space="0" w:color="8ED973"/>
              <w:left w:val="nil"/>
              <w:bottom w:val="nil"/>
              <w:right w:val="nil"/>
            </w:tcBorders>
            <w:noWrap/>
            <w:hideMark/>
          </w:tcPr>
          <w:p w14:paraId="31C448B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5226FF3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Národní zjišťování</w:t>
            </w:r>
          </w:p>
        </w:tc>
        <w:tc>
          <w:tcPr>
            <w:tcW w:w="543" w:type="pct"/>
            <w:tcBorders>
              <w:top w:val="single" w:sz="4" w:space="0" w:color="8ED973"/>
              <w:left w:val="nil"/>
              <w:bottom w:val="nil"/>
              <w:right w:val="nil"/>
            </w:tcBorders>
            <w:noWrap/>
            <w:hideMark/>
          </w:tcPr>
          <w:p w14:paraId="3D1A575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695ADC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3FEBA229" w14:textId="77777777" w:rsidTr="009A58B0">
        <w:trPr>
          <w:trHeight w:val="290"/>
        </w:trPr>
        <w:tc>
          <w:tcPr>
            <w:tcW w:w="2380" w:type="pct"/>
            <w:tcBorders>
              <w:top w:val="single" w:sz="4" w:space="0" w:color="8ED973"/>
              <w:left w:val="single" w:sz="4" w:space="0" w:color="4EA72E"/>
              <w:bottom w:val="nil"/>
              <w:right w:val="nil"/>
            </w:tcBorders>
            <w:hideMark/>
          </w:tcPr>
          <w:p w14:paraId="5E72694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opakujících ročník v ZŠ</w:t>
            </w:r>
          </w:p>
        </w:tc>
        <w:tc>
          <w:tcPr>
            <w:tcW w:w="649" w:type="pct"/>
            <w:tcBorders>
              <w:top w:val="single" w:sz="4" w:space="0" w:color="8ED973"/>
              <w:left w:val="nil"/>
              <w:bottom w:val="nil"/>
              <w:right w:val="nil"/>
            </w:tcBorders>
            <w:noWrap/>
            <w:hideMark/>
          </w:tcPr>
          <w:p w14:paraId="663DC3F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6A9418F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Opakování ročníku</w:t>
            </w:r>
          </w:p>
        </w:tc>
        <w:tc>
          <w:tcPr>
            <w:tcW w:w="543" w:type="pct"/>
            <w:tcBorders>
              <w:top w:val="single" w:sz="4" w:space="0" w:color="8ED973"/>
              <w:left w:val="nil"/>
              <w:bottom w:val="nil"/>
              <w:right w:val="nil"/>
            </w:tcBorders>
            <w:noWrap/>
            <w:hideMark/>
          </w:tcPr>
          <w:p w14:paraId="4E8EE96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B9D62F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4FBC7D04" w14:textId="77777777" w:rsidTr="009A58B0">
        <w:trPr>
          <w:trHeight w:val="290"/>
        </w:trPr>
        <w:tc>
          <w:tcPr>
            <w:tcW w:w="2380" w:type="pct"/>
            <w:tcBorders>
              <w:top w:val="single" w:sz="4" w:space="0" w:color="8ED973"/>
              <w:left w:val="single" w:sz="4" w:space="0" w:color="4EA72E"/>
              <w:bottom w:val="nil"/>
              <w:right w:val="nil"/>
            </w:tcBorders>
            <w:hideMark/>
          </w:tcPr>
          <w:p w14:paraId="4DB8CA5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opakujících ročník na 1. stupni ZŠ</w:t>
            </w:r>
          </w:p>
        </w:tc>
        <w:tc>
          <w:tcPr>
            <w:tcW w:w="649" w:type="pct"/>
            <w:tcBorders>
              <w:top w:val="single" w:sz="4" w:space="0" w:color="8ED973"/>
              <w:left w:val="nil"/>
              <w:bottom w:val="nil"/>
              <w:right w:val="nil"/>
            </w:tcBorders>
            <w:noWrap/>
            <w:hideMark/>
          </w:tcPr>
          <w:p w14:paraId="45378EC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7F6E197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Opakování ročníku</w:t>
            </w:r>
          </w:p>
        </w:tc>
        <w:tc>
          <w:tcPr>
            <w:tcW w:w="543" w:type="pct"/>
            <w:tcBorders>
              <w:top w:val="single" w:sz="4" w:space="0" w:color="8ED973"/>
              <w:left w:val="nil"/>
              <w:bottom w:val="nil"/>
              <w:right w:val="nil"/>
            </w:tcBorders>
            <w:noWrap/>
            <w:hideMark/>
          </w:tcPr>
          <w:p w14:paraId="3DD4305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04F5D5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488DC77F" w14:textId="77777777" w:rsidTr="009A58B0">
        <w:trPr>
          <w:trHeight w:val="290"/>
        </w:trPr>
        <w:tc>
          <w:tcPr>
            <w:tcW w:w="2380" w:type="pct"/>
            <w:tcBorders>
              <w:top w:val="single" w:sz="4" w:space="0" w:color="8ED973"/>
              <w:left w:val="single" w:sz="4" w:space="0" w:color="4EA72E"/>
              <w:bottom w:val="nil"/>
              <w:right w:val="nil"/>
            </w:tcBorders>
            <w:hideMark/>
          </w:tcPr>
          <w:p w14:paraId="0D14D4F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opakujících ročník na 2. stupni ZŠ</w:t>
            </w:r>
          </w:p>
        </w:tc>
        <w:tc>
          <w:tcPr>
            <w:tcW w:w="649" w:type="pct"/>
            <w:tcBorders>
              <w:top w:val="single" w:sz="4" w:space="0" w:color="8ED973"/>
              <w:left w:val="nil"/>
              <w:bottom w:val="nil"/>
              <w:right w:val="nil"/>
            </w:tcBorders>
            <w:noWrap/>
            <w:hideMark/>
          </w:tcPr>
          <w:p w14:paraId="733A479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1DD9597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Opakování ročníku</w:t>
            </w:r>
          </w:p>
        </w:tc>
        <w:tc>
          <w:tcPr>
            <w:tcW w:w="543" w:type="pct"/>
            <w:tcBorders>
              <w:top w:val="single" w:sz="4" w:space="0" w:color="8ED973"/>
              <w:left w:val="nil"/>
              <w:bottom w:val="nil"/>
              <w:right w:val="nil"/>
            </w:tcBorders>
            <w:noWrap/>
            <w:hideMark/>
          </w:tcPr>
          <w:p w14:paraId="364A6D4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04EC2A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7A35CC54" w14:textId="77777777" w:rsidTr="009A58B0">
        <w:trPr>
          <w:trHeight w:val="290"/>
        </w:trPr>
        <w:tc>
          <w:tcPr>
            <w:tcW w:w="2380" w:type="pct"/>
            <w:tcBorders>
              <w:top w:val="single" w:sz="4" w:space="0" w:color="8ED973"/>
              <w:left w:val="single" w:sz="4" w:space="0" w:color="4EA72E"/>
              <w:bottom w:val="nil"/>
              <w:right w:val="nil"/>
            </w:tcBorders>
            <w:hideMark/>
          </w:tcPr>
          <w:p w14:paraId="022B3CA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opakujících ročník v SŠ</w:t>
            </w:r>
          </w:p>
        </w:tc>
        <w:tc>
          <w:tcPr>
            <w:tcW w:w="649" w:type="pct"/>
            <w:tcBorders>
              <w:top w:val="single" w:sz="4" w:space="0" w:color="8ED973"/>
              <w:left w:val="nil"/>
              <w:bottom w:val="nil"/>
              <w:right w:val="nil"/>
            </w:tcBorders>
            <w:noWrap/>
            <w:hideMark/>
          </w:tcPr>
          <w:p w14:paraId="4FC2097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61F1E25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Opakování ročníku</w:t>
            </w:r>
          </w:p>
        </w:tc>
        <w:tc>
          <w:tcPr>
            <w:tcW w:w="543" w:type="pct"/>
            <w:tcBorders>
              <w:top w:val="single" w:sz="4" w:space="0" w:color="8ED973"/>
              <w:left w:val="nil"/>
              <w:bottom w:val="nil"/>
              <w:right w:val="nil"/>
            </w:tcBorders>
            <w:noWrap/>
            <w:hideMark/>
          </w:tcPr>
          <w:p w14:paraId="1783FDD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3DAEE93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454BA04D" w14:textId="77777777" w:rsidTr="009A58B0">
        <w:trPr>
          <w:trHeight w:val="290"/>
        </w:trPr>
        <w:tc>
          <w:tcPr>
            <w:tcW w:w="2380" w:type="pct"/>
            <w:tcBorders>
              <w:top w:val="single" w:sz="4" w:space="0" w:color="8ED973"/>
              <w:left w:val="single" w:sz="4" w:space="0" w:color="4EA72E"/>
              <w:bottom w:val="nil"/>
              <w:right w:val="nil"/>
            </w:tcBorders>
            <w:hideMark/>
          </w:tcPr>
          <w:p w14:paraId="7CEC9B3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opakujících ročník v SŠ v maturitních negymnaziálních oborech</w:t>
            </w:r>
          </w:p>
        </w:tc>
        <w:tc>
          <w:tcPr>
            <w:tcW w:w="649" w:type="pct"/>
            <w:tcBorders>
              <w:top w:val="single" w:sz="4" w:space="0" w:color="8ED973"/>
              <w:left w:val="nil"/>
              <w:bottom w:val="nil"/>
              <w:right w:val="nil"/>
            </w:tcBorders>
            <w:noWrap/>
            <w:hideMark/>
          </w:tcPr>
          <w:p w14:paraId="1C0A773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588BB59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Opakování ročníku</w:t>
            </w:r>
          </w:p>
        </w:tc>
        <w:tc>
          <w:tcPr>
            <w:tcW w:w="543" w:type="pct"/>
            <w:tcBorders>
              <w:top w:val="single" w:sz="4" w:space="0" w:color="8ED973"/>
              <w:left w:val="nil"/>
              <w:bottom w:val="nil"/>
              <w:right w:val="nil"/>
            </w:tcBorders>
            <w:noWrap/>
            <w:hideMark/>
          </w:tcPr>
          <w:p w14:paraId="02C3634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CC4CF2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3CDFE23C" w14:textId="77777777" w:rsidTr="009A58B0">
        <w:trPr>
          <w:trHeight w:val="290"/>
        </w:trPr>
        <w:tc>
          <w:tcPr>
            <w:tcW w:w="2380" w:type="pct"/>
            <w:tcBorders>
              <w:top w:val="single" w:sz="4" w:space="0" w:color="8ED973"/>
              <w:left w:val="single" w:sz="4" w:space="0" w:color="4EA72E"/>
              <w:bottom w:val="nil"/>
              <w:right w:val="nil"/>
            </w:tcBorders>
            <w:hideMark/>
          </w:tcPr>
          <w:p w14:paraId="01517CF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opakujících ročník v SŠ v gymnaziálních oborech</w:t>
            </w:r>
          </w:p>
        </w:tc>
        <w:tc>
          <w:tcPr>
            <w:tcW w:w="649" w:type="pct"/>
            <w:tcBorders>
              <w:top w:val="single" w:sz="4" w:space="0" w:color="8ED973"/>
              <w:left w:val="nil"/>
              <w:bottom w:val="nil"/>
              <w:right w:val="nil"/>
            </w:tcBorders>
            <w:noWrap/>
            <w:hideMark/>
          </w:tcPr>
          <w:p w14:paraId="2E35000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424DF72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Opakování ročníku</w:t>
            </w:r>
          </w:p>
        </w:tc>
        <w:tc>
          <w:tcPr>
            <w:tcW w:w="543" w:type="pct"/>
            <w:tcBorders>
              <w:top w:val="single" w:sz="4" w:space="0" w:color="8ED973"/>
              <w:left w:val="nil"/>
              <w:bottom w:val="nil"/>
              <w:right w:val="nil"/>
            </w:tcBorders>
            <w:noWrap/>
            <w:hideMark/>
          </w:tcPr>
          <w:p w14:paraId="440ED7B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0876491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2D33992D" w14:textId="77777777" w:rsidTr="009A58B0">
        <w:trPr>
          <w:trHeight w:val="290"/>
        </w:trPr>
        <w:tc>
          <w:tcPr>
            <w:tcW w:w="2380" w:type="pct"/>
            <w:tcBorders>
              <w:top w:val="single" w:sz="4" w:space="0" w:color="8ED973"/>
              <w:left w:val="single" w:sz="4" w:space="0" w:color="4EA72E"/>
              <w:bottom w:val="nil"/>
              <w:right w:val="nil"/>
            </w:tcBorders>
            <w:hideMark/>
          </w:tcPr>
          <w:p w14:paraId="73F6E59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odcházejících ze středního vzdělávání během prvního roku studia</w:t>
            </w:r>
          </w:p>
        </w:tc>
        <w:tc>
          <w:tcPr>
            <w:tcW w:w="649" w:type="pct"/>
            <w:tcBorders>
              <w:top w:val="single" w:sz="4" w:space="0" w:color="8ED973"/>
              <w:left w:val="nil"/>
              <w:bottom w:val="nil"/>
              <w:right w:val="nil"/>
            </w:tcBorders>
            <w:noWrap/>
            <w:hideMark/>
          </w:tcPr>
          <w:p w14:paraId="61D200B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5072048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Předčasné odchody</w:t>
            </w:r>
          </w:p>
        </w:tc>
        <w:tc>
          <w:tcPr>
            <w:tcW w:w="543" w:type="pct"/>
            <w:tcBorders>
              <w:top w:val="single" w:sz="4" w:space="0" w:color="8ED973"/>
              <w:left w:val="nil"/>
              <w:bottom w:val="nil"/>
              <w:right w:val="nil"/>
            </w:tcBorders>
            <w:noWrap/>
            <w:hideMark/>
          </w:tcPr>
          <w:p w14:paraId="4124BB0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3927214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58DA114E" w14:textId="77777777" w:rsidTr="009A58B0">
        <w:trPr>
          <w:trHeight w:val="290"/>
        </w:trPr>
        <w:tc>
          <w:tcPr>
            <w:tcW w:w="2380" w:type="pct"/>
            <w:tcBorders>
              <w:top w:val="single" w:sz="4" w:space="0" w:color="8ED973"/>
              <w:left w:val="single" w:sz="4" w:space="0" w:color="4EA72E"/>
              <w:bottom w:val="nil"/>
              <w:right w:val="nil"/>
            </w:tcBorders>
            <w:hideMark/>
          </w:tcPr>
          <w:p w14:paraId="2F880FA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lastRenderedPageBreak/>
              <w:t>Podíl žáků odcházejících ze středoškolského vzdělání po dokončení prvního ročníku</w:t>
            </w:r>
          </w:p>
        </w:tc>
        <w:tc>
          <w:tcPr>
            <w:tcW w:w="649" w:type="pct"/>
            <w:tcBorders>
              <w:top w:val="single" w:sz="4" w:space="0" w:color="8ED973"/>
              <w:left w:val="nil"/>
              <w:bottom w:val="nil"/>
              <w:right w:val="nil"/>
            </w:tcBorders>
            <w:noWrap/>
            <w:hideMark/>
          </w:tcPr>
          <w:p w14:paraId="11CDCF1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1F8D7EA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Předčasné odchody</w:t>
            </w:r>
          </w:p>
        </w:tc>
        <w:tc>
          <w:tcPr>
            <w:tcW w:w="543" w:type="pct"/>
            <w:tcBorders>
              <w:top w:val="single" w:sz="4" w:space="0" w:color="8ED973"/>
              <w:left w:val="nil"/>
              <w:bottom w:val="nil"/>
              <w:right w:val="nil"/>
            </w:tcBorders>
            <w:noWrap/>
            <w:hideMark/>
          </w:tcPr>
          <w:p w14:paraId="12402DA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43240B8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150F444A" w14:textId="77777777" w:rsidTr="009A58B0">
        <w:trPr>
          <w:trHeight w:val="290"/>
        </w:trPr>
        <w:tc>
          <w:tcPr>
            <w:tcW w:w="2380" w:type="pct"/>
            <w:tcBorders>
              <w:top w:val="single" w:sz="4" w:space="0" w:color="8ED973"/>
              <w:left w:val="single" w:sz="4" w:space="0" w:color="4EA72E"/>
              <w:bottom w:val="nil"/>
              <w:right w:val="nil"/>
            </w:tcBorders>
            <w:hideMark/>
          </w:tcPr>
          <w:p w14:paraId="40D6B51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odcházející ze základní školy bez dosaženého stupně vzdělání v oboru Základní škola</w:t>
            </w:r>
          </w:p>
        </w:tc>
        <w:tc>
          <w:tcPr>
            <w:tcW w:w="649" w:type="pct"/>
            <w:tcBorders>
              <w:top w:val="single" w:sz="4" w:space="0" w:color="8ED973"/>
              <w:left w:val="nil"/>
              <w:bottom w:val="nil"/>
              <w:right w:val="nil"/>
            </w:tcBorders>
            <w:noWrap/>
            <w:hideMark/>
          </w:tcPr>
          <w:p w14:paraId="07ED8EA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3F86034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Předčasné odchody</w:t>
            </w:r>
          </w:p>
        </w:tc>
        <w:tc>
          <w:tcPr>
            <w:tcW w:w="543" w:type="pct"/>
            <w:tcBorders>
              <w:top w:val="single" w:sz="4" w:space="0" w:color="8ED973"/>
              <w:left w:val="nil"/>
              <w:bottom w:val="nil"/>
              <w:right w:val="nil"/>
            </w:tcBorders>
            <w:noWrap/>
            <w:hideMark/>
          </w:tcPr>
          <w:p w14:paraId="133831C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DDB671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168374C9" w14:textId="77777777" w:rsidTr="009A58B0">
        <w:trPr>
          <w:trHeight w:val="290"/>
        </w:trPr>
        <w:tc>
          <w:tcPr>
            <w:tcW w:w="2380" w:type="pct"/>
            <w:tcBorders>
              <w:top w:val="single" w:sz="4" w:space="0" w:color="8ED973"/>
              <w:left w:val="single" w:sz="4" w:space="0" w:color="4EA72E"/>
              <w:bottom w:val="nil"/>
              <w:right w:val="nil"/>
            </w:tcBorders>
            <w:hideMark/>
          </w:tcPr>
          <w:p w14:paraId="05BB777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absolventů ZŠ, kteří v daném roce nepokračují na SŠ nebo konzervatoři</w:t>
            </w:r>
          </w:p>
        </w:tc>
        <w:tc>
          <w:tcPr>
            <w:tcW w:w="649" w:type="pct"/>
            <w:tcBorders>
              <w:top w:val="single" w:sz="4" w:space="0" w:color="8ED973"/>
              <w:left w:val="nil"/>
              <w:bottom w:val="nil"/>
              <w:right w:val="nil"/>
            </w:tcBorders>
            <w:noWrap/>
            <w:hideMark/>
          </w:tcPr>
          <w:p w14:paraId="03E2ECF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Výsledky vzdělávání</w:t>
            </w:r>
          </w:p>
        </w:tc>
        <w:tc>
          <w:tcPr>
            <w:tcW w:w="1190" w:type="pct"/>
            <w:tcBorders>
              <w:top w:val="single" w:sz="4" w:space="0" w:color="8ED973"/>
              <w:left w:val="nil"/>
              <w:bottom w:val="nil"/>
              <w:right w:val="nil"/>
            </w:tcBorders>
            <w:noWrap/>
            <w:hideMark/>
          </w:tcPr>
          <w:p w14:paraId="33AAA12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Předčasné odchody</w:t>
            </w:r>
          </w:p>
        </w:tc>
        <w:tc>
          <w:tcPr>
            <w:tcW w:w="543" w:type="pct"/>
            <w:tcBorders>
              <w:top w:val="single" w:sz="4" w:space="0" w:color="8ED973"/>
              <w:left w:val="nil"/>
              <w:bottom w:val="nil"/>
              <w:right w:val="nil"/>
            </w:tcBorders>
            <w:noWrap/>
            <w:hideMark/>
          </w:tcPr>
          <w:p w14:paraId="33F5C0B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75F015D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B337746" w14:textId="77777777" w:rsidTr="009A58B0">
        <w:trPr>
          <w:trHeight w:val="290"/>
        </w:trPr>
        <w:tc>
          <w:tcPr>
            <w:tcW w:w="2380" w:type="pct"/>
            <w:tcBorders>
              <w:top w:val="single" w:sz="4" w:space="0" w:color="8ED973"/>
              <w:left w:val="single" w:sz="4" w:space="0" w:color="4EA72E"/>
              <w:bottom w:val="nil"/>
              <w:right w:val="nil"/>
            </w:tcBorders>
            <w:hideMark/>
          </w:tcPr>
          <w:p w14:paraId="4C24112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Index šikany (TIMSS) - žáci 4. ročníků ZŠ</w:t>
            </w:r>
          </w:p>
        </w:tc>
        <w:tc>
          <w:tcPr>
            <w:tcW w:w="649" w:type="pct"/>
            <w:tcBorders>
              <w:top w:val="single" w:sz="4" w:space="0" w:color="8ED973"/>
              <w:left w:val="nil"/>
              <w:bottom w:val="nil"/>
              <w:right w:val="nil"/>
            </w:tcBorders>
            <w:noWrap/>
            <w:hideMark/>
          </w:tcPr>
          <w:p w14:paraId="1EB389C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Well-being</w:t>
            </w:r>
          </w:p>
        </w:tc>
        <w:tc>
          <w:tcPr>
            <w:tcW w:w="1190" w:type="pct"/>
            <w:tcBorders>
              <w:top w:val="single" w:sz="4" w:space="0" w:color="8ED973"/>
              <w:left w:val="nil"/>
              <w:bottom w:val="nil"/>
              <w:right w:val="nil"/>
            </w:tcBorders>
            <w:noWrap/>
            <w:hideMark/>
          </w:tcPr>
          <w:p w14:paraId="68B91AA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Index šikany</w:t>
            </w:r>
          </w:p>
        </w:tc>
        <w:tc>
          <w:tcPr>
            <w:tcW w:w="543" w:type="pct"/>
            <w:tcBorders>
              <w:top w:val="single" w:sz="4" w:space="0" w:color="8ED973"/>
              <w:left w:val="nil"/>
              <w:bottom w:val="nil"/>
              <w:right w:val="nil"/>
            </w:tcBorders>
            <w:noWrap/>
            <w:hideMark/>
          </w:tcPr>
          <w:p w14:paraId="2040CC4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0E924B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1FC98B78" w14:textId="77777777" w:rsidTr="009A58B0">
        <w:trPr>
          <w:trHeight w:val="290"/>
        </w:trPr>
        <w:tc>
          <w:tcPr>
            <w:tcW w:w="2380" w:type="pct"/>
            <w:tcBorders>
              <w:top w:val="single" w:sz="4" w:space="0" w:color="8ED973"/>
              <w:left w:val="single" w:sz="4" w:space="0" w:color="4EA72E"/>
              <w:bottom w:val="nil"/>
              <w:right w:val="nil"/>
            </w:tcBorders>
            <w:hideMark/>
          </w:tcPr>
          <w:p w14:paraId="407381C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vyjadřujících souhlas s výrokem "Cítím, že do školy patřím" (PISA, 15letí)</w:t>
            </w:r>
          </w:p>
        </w:tc>
        <w:tc>
          <w:tcPr>
            <w:tcW w:w="649" w:type="pct"/>
            <w:tcBorders>
              <w:top w:val="single" w:sz="4" w:space="0" w:color="8ED973"/>
              <w:left w:val="nil"/>
              <w:bottom w:val="nil"/>
              <w:right w:val="nil"/>
            </w:tcBorders>
            <w:noWrap/>
            <w:hideMark/>
          </w:tcPr>
          <w:p w14:paraId="2A46CF3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Well-being</w:t>
            </w:r>
          </w:p>
        </w:tc>
        <w:tc>
          <w:tcPr>
            <w:tcW w:w="1190" w:type="pct"/>
            <w:tcBorders>
              <w:top w:val="single" w:sz="4" w:space="0" w:color="8ED973"/>
              <w:left w:val="nil"/>
              <w:bottom w:val="nil"/>
              <w:right w:val="nil"/>
            </w:tcBorders>
            <w:noWrap/>
            <w:hideMark/>
          </w:tcPr>
          <w:p w14:paraId="7987561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Sounáležitost se školou</w:t>
            </w:r>
          </w:p>
        </w:tc>
        <w:tc>
          <w:tcPr>
            <w:tcW w:w="543" w:type="pct"/>
            <w:tcBorders>
              <w:top w:val="single" w:sz="4" w:space="0" w:color="8ED973"/>
              <w:left w:val="nil"/>
              <w:bottom w:val="nil"/>
              <w:right w:val="nil"/>
            </w:tcBorders>
            <w:noWrap/>
            <w:hideMark/>
          </w:tcPr>
          <w:p w14:paraId="57FF125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6F6F66D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0D89D43B" w14:textId="77777777" w:rsidTr="009A58B0">
        <w:trPr>
          <w:trHeight w:val="290"/>
        </w:trPr>
        <w:tc>
          <w:tcPr>
            <w:tcW w:w="2380" w:type="pct"/>
            <w:tcBorders>
              <w:top w:val="single" w:sz="4" w:space="0" w:color="8ED973"/>
              <w:left w:val="single" w:sz="4" w:space="0" w:color="4EA72E"/>
              <w:bottom w:val="nil"/>
              <w:right w:val="nil"/>
            </w:tcBorders>
            <w:hideMark/>
          </w:tcPr>
          <w:p w14:paraId="11F83F2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Index pocitu sounáležitosti (PISA, 15letí)</w:t>
            </w:r>
          </w:p>
        </w:tc>
        <w:tc>
          <w:tcPr>
            <w:tcW w:w="649" w:type="pct"/>
            <w:tcBorders>
              <w:top w:val="single" w:sz="4" w:space="0" w:color="8ED973"/>
              <w:left w:val="nil"/>
              <w:bottom w:val="nil"/>
              <w:right w:val="nil"/>
            </w:tcBorders>
            <w:noWrap/>
            <w:hideMark/>
          </w:tcPr>
          <w:p w14:paraId="7B9B9CB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Well-being</w:t>
            </w:r>
          </w:p>
        </w:tc>
        <w:tc>
          <w:tcPr>
            <w:tcW w:w="1190" w:type="pct"/>
            <w:tcBorders>
              <w:top w:val="single" w:sz="4" w:space="0" w:color="8ED973"/>
              <w:left w:val="nil"/>
              <w:bottom w:val="nil"/>
              <w:right w:val="nil"/>
            </w:tcBorders>
            <w:noWrap/>
            <w:hideMark/>
          </w:tcPr>
          <w:p w14:paraId="1BD8521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Sounáležitost se školou</w:t>
            </w:r>
          </w:p>
        </w:tc>
        <w:tc>
          <w:tcPr>
            <w:tcW w:w="543" w:type="pct"/>
            <w:tcBorders>
              <w:top w:val="single" w:sz="4" w:space="0" w:color="8ED973"/>
              <w:left w:val="nil"/>
              <w:bottom w:val="nil"/>
              <w:right w:val="nil"/>
            </w:tcBorders>
            <w:noWrap/>
            <w:hideMark/>
          </w:tcPr>
          <w:p w14:paraId="54D1A04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08FDD96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0666544B" w14:textId="77777777" w:rsidTr="009A58B0">
        <w:trPr>
          <w:trHeight w:val="290"/>
        </w:trPr>
        <w:tc>
          <w:tcPr>
            <w:tcW w:w="2380" w:type="pct"/>
            <w:tcBorders>
              <w:top w:val="single" w:sz="4" w:space="0" w:color="8ED973"/>
              <w:left w:val="single" w:sz="4" w:space="0" w:color="4EA72E"/>
              <w:bottom w:val="nil"/>
              <w:right w:val="nil"/>
            </w:tcBorders>
            <w:hideMark/>
          </w:tcPr>
          <w:p w14:paraId="7B9F9B6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4. tříd ZŠ s nedostatečnými výsledky v testech čtenářských dovedností (PIRLS)</w:t>
            </w:r>
          </w:p>
        </w:tc>
        <w:tc>
          <w:tcPr>
            <w:tcW w:w="649" w:type="pct"/>
            <w:tcBorders>
              <w:top w:val="single" w:sz="4" w:space="0" w:color="8ED973"/>
              <w:left w:val="nil"/>
              <w:bottom w:val="nil"/>
              <w:right w:val="nil"/>
            </w:tcBorders>
            <w:noWrap/>
            <w:hideMark/>
          </w:tcPr>
          <w:p w14:paraId="351A5CB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4F63DAA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44C73FE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AEAA26F"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289ECE7D" w14:textId="77777777" w:rsidTr="009A58B0">
        <w:trPr>
          <w:trHeight w:val="290"/>
        </w:trPr>
        <w:tc>
          <w:tcPr>
            <w:tcW w:w="2380" w:type="pct"/>
            <w:tcBorders>
              <w:top w:val="single" w:sz="4" w:space="0" w:color="8ED973"/>
              <w:left w:val="single" w:sz="4" w:space="0" w:color="4EA72E"/>
              <w:bottom w:val="nil"/>
              <w:right w:val="nil"/>
            </w:tcBorders>
            <w:hideMark/>
          </w:tcPr>
          <w:p w14:paraId="1EBC7E2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ZŠ s nedostatečnými výsledky v testech čtenářské gramotnosti (PISA)</w:t>
            </w:r>
          </w:p>
        </w:tc>
        <w:tc>
          <w:tcPr>
            <w:tcW w:w="649" w:type="pct"/>
            <w:tcBorders>
              <w:top w:val="single" w:sz="4" w:space="0" w:color="8ED973"/>
              <w:left w:val="nil"/>
              <w:bottom w:val="nil"/>
              <w:right w:val="nil"/>
            </w:tcBorders>
            <w:noWrap/>
            <w:hideMark/>
          </w:tcPr>
          <w:p w14:paraId="4040DE9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13A7E55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2B1684C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19F0093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2EA46D83" w14:textId="77777777" w:rsidTr="009A58B0">
        <w:trPr>
          <w:trHeight w:val="290"/>
        </w:trPr>
        <w:tc>
          <w:tcPr>
            <w:tcW w:w="2380" w:type="pct"/>
            <w:tcBorders>
              <w:top w:val="single" w:sz="4" w:space="0" w:color="8ED973"/>
              <w:left w:val="single" w:sz="4" w:space="0" w:color="4EA72E"/>
              <w:bottom w:val="nil"/>
              <w:right w:val="nil"/>
            </w:tcBorders>
            <w:hideMark/>
          </w:tcPr>
          <w:p w14:paraId="6F6451C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ZŠ s nedostatečnými výsledky v testech matematické gramotnosti (PISA)</w:t>
            </w:r>
          </w:p>
        </w:tc>
        <w:tc>
          <w:tcPr>
            <w:tcW w:w="649" w:type="pct"/>
            <w:tcBorders>
              <w:top w:val="single" w:sz="4" w:space="0" w:color="8ED973"/>
              <w:left w:val="nil"/>
              <w:bottom w:val="nil"/>
              <w:right w:val="nil"/>
            </w:tcBorders>
            <w:noWrap/>
            <w:hideMark/>
          </w:tcPr>
          <w:p w14:paraId="76A1F3E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3E165F73"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7B588EB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0F68482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w:t>
            </w:r>
          </w:p>
        </w:tc>
      </w:tr>
      <w:tr w:rsidR="0024586E" w:rsidRPr="00FE5073" w14:paraId="5C056310" w14:textId="77777777" w:rsidTr="009A58B0">
        <w:trPr>
          <w:trHeight w:val="290"/>
        </w:trPr>
        <w:tc>
          <w:tcPr>
            <w:tcW w:w="2380" w:type="pct"/>
            <w:tcBorders>
              <w:top w:val="single" w:sz="4" w:space="0" w:color="8ED973"/>
              <w:left w:val="single" w:sz="4" w:space="0" w:color="4EA72E"/>
              <w:bottom w:val="nil"/>
              <w:right w:val="nil"/>
            </w:tcBorders>
            <w:hideMark/>
          </w:tcPr>
          <w:p w14:paraId="750A0BA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4. tříd ZŠ s nedostatečnými výsledky v testech matematických dovedností (TIMSS)</w:t>
            </w:r>
          </w:p>
        </w:tc>
        <w:tc>
          <w:tcPr>
            <w:tcW w:w="649" w:type="pct"/>
            <w:tcBorders>
              <w:top w:val="single" w:sz="4" w:space="0" w:color="8ED973"/>
              <w:left w:val="nil"/>
              <w:bottom w:val="nil"/>
              <w:right w:val="nil"/>
            </w:tcBorders>
            <w:noWrap/>
            <w:hideMark/>
          </w:tcPr>
          <w:p w14:paraId="1D6E40C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29B7681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7C21C9E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74B3A3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E5633E9" w14:textId="77777777" w:rsidTr="009A58B0">
        <w:trPr>
          <w:trHeight w:val="290"/>
        </w:trPr>
        <w:tc>
          <w:tcPr>
            <w:tcW w:w="2380" w:type="pct"/>
            <w:tcBorders>
              <w:top w:val="single" w:sz="4" w:space="0" w:color="8ED973"/>
              <w:left w:val="single" w:sz="4" w:space="0" w:color="4EA72E"/>
              <w:bottom w:val="nil"/>
              <w:right w:val="nil"/>
            </w:tcBorders>
            <w:hideMark/>
          </w:tcPr>
          <w:p w14:paraId="55B64C2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4. tříd ZŠ s nedostatečnými výsledky v testech přírodovědných dovedností (TIMSS)</w:t>
            </w:r>
          </w:p>
        </w:tc>
        <w:tc>
          <w:tcPr>
            <w:tcW w:w="649" w:type="pct"/>
            <w:tcBorders>
              <w:top w:val="single" w:sz="4" w:space="0" w:color="8ED973"/>
              <w:left w:val="nil"/>
              <w:bottom w:val="nil"/>
              <w:right w:val="nil"/>
            </w:tcBorders>
            <w:noWrap/>
            <w:hideMark/>
          </w:tcPr>
          <w:p w14:paraId="4D94713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52C8779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6FA1AF0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8C590F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22221901" w14:textId="77777777" w:rsidTr="009A58B0">
        <w:trPr>
          <w:trHeight w:val="290"/>
        </w:trPr>
        <w:tc>
          <w:tcPr>
            <w:tcW w:w="2380" w:type="pct"/>
            <w:tcBorders>
              <w:top w:val="single" w:sz="4" w:space="0" w:color="8ED973"/>
              <w:left w:val="single" w:sz="4" w:space="0" w:color="4EA72E"/>
              <w:bottom w:val="nil"/>
              <w:right w:val="nil"/>
            </w:tcBorders>
            <w:hideMark/>
          </w:tcPr>
          <w:p w14:paraId="0C123AA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8. tříd ZŠ s nedostatečnými výsledky v testech matematických dovedností (TIMSS)</w:t>
            </w:r>
          </w:p>
        </w:tc>
        <w:tc>
          <w:tcPr>
            <w:tcW w:w="649" w:type="pct"/>
            <w:tcBorders>
              <w:top w:val="single" w:sz="4" w:space="0" w:color="8ED973"/>
              <w:left w:val="nil"/>
              <w:bottom w:val="nil"/>
              <w:right w:val="nil"/>
            </w:tcBorders>
            <w:noWrap/>
            <w:hideMark/>
          </w:tcPr>
          <w:p w14:paraId="325FE2D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238D4BD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7EA31765"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1C588E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0A6F859" w14:textId="77777777" w:rsidTr="009A58B0">
        <w:trPr>
          <w:trHeight w:val="290"/>
        </w:trPr>
        <w:tc>
          <w:tcPr>
            <w:tcW w:w="2380" w:type="pct"/>
            <w:tcBorders>
              <w:top w:val="single" w:sz="4" w:space="0" w:color="8ED973"/>
              <w:left w:val="single" w:sz="4" w:space="0" w:color="4EA72E"/>
              <w:bottom w:val="nil"/>
              <w:right w:val="nil"/>
            </w:tcBorders>
            <w:hideMark/>
          </w:tcPr>
          <w:p w14:paraId="11260459"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8. tříd ZŠ s nedostatečnými výsledky v testech přírodovědných dovedností (TIMSS)</w:t>
            </w:r>
          </w:p>
        </w:tc>
        <w:tc>
          <w:tcPr>
            <w:tcW w:w="649" w:type="pct"/>
            <w:tcBorders>
              <w:top w:val="single" w:sz="4" w:space="0" w:color="8ED973"/>
              <w:left w:val="nil"/>
              <w:bottom w:val="nil"/>
              <w:right w:val="nil"/>
            </w:tcBorders>
            <w:noWrap/>
            <w:hideMark/>
          </w:tcPr>
          <w:p w14:paraId="7A817AA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544B854D"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7045C7F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016402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2</w:t>
            </w:r>
          </w:p>
        </w:tc>
      </w:tr>
      <w:tr w:rsidR="0024586E" w:rsidRPr="00FE5073" w14:paraId="39D047CA" w14:textId="77777777" w:rsidTr="009A58B0">
        <w:trPr>
          <w:trHeight w:val="290"/>
        </w:trPr>
        <w:tc>
          <w:tcPr>
            <w:tcW w:w="2380" w:type="pct"/>
            <w:tcBorders>
              <w:top w:val="single" w:sz="4" w:space="0" w:color="8ED973"/>
              <w:left w:val="single" w:sz="4" w:space="0" w:color="4EA72E"/>
              <w:bottom w:val="nil"/>
              <w:right w:val="nil"/>
            </w:tcBorders>
            <w:hideMark/>
          </w:tcPr>
          <w:p w14:paraId="1092375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4. tříd ZŠ s excelentními výsledky v testech přírodovědných dovedností (TIMSS)</w:t>
            </w:r>
          </w:p>
        </w:tc>
        <w:tc>
          <w:tcPr>
            <w:tcW w:w="649" w:type="pct"/>
            <w:tcBorders>
              <w:top w:val="single" w:sz="4" w:space="0" w:color="8ED973"/>
              <w:left w:val="nil"/>
              <w:bottom w:val="nil"/>
              <w:right w:val="nil"/>
            </w:tcBorders>
            <w:noWrap/>
            <w:hideMark/>
          </w:tcPr>
          <w:p w14:paraId="5460CEC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20E8A20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179C86D7"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AEDA49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7BB9503A" w14:textId="77777777" w:rsidTr="009A58B0">
        <w:trPr>
          <w:trHeight w:val="290"/>
        </w:trPr>
        <w:tc>
          <w:tcPr>
            <w:tcW w:w="2380" w:type="pct"/>
            <w:tcBorders>
              <w:top w:val="single" w:sz="4" w:space="0" w:color="8ED973"/>
              <w:left w:val="single" w:sz="4" w:space="0" w:color="4EA72E"/>
              <w:bottom w:val="nil"/>
              <w:right w:val="nil"/>
            </w:tcBorders>
            <w:hideMark/>
          </w:tcPr>
          <w:p w14:paraId="065EF1D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8. tříd ZŠ s excelentními výsledky v testech přírodovědných dovedností (TIMSS)</w:t>
            </w:r>
          </w:p>
        </w:tc>
        <w:tc>
          <w:tcPr>
            <w:tcW w:w="649" w:type="pct"/>
            <w:tcBorders>
              <w:top w:val="single" w:sz="4" w:space="0" w:color="8ED973"/>
              <w:left w:val="nil"/>
              <w:bottom w:val="nil"/>
              <w:right w:val="nil"/>
            </w:tcBorders>
            <w:noWrap/>
            <w:hideMark/>
          </w:tcPr>
          <w:p w14:paraId="03719131"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36DBB97A"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26674B6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3C445DE"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13</w:t>
            </w:r>
          </w:p>
        </w:tc>
      </w:tr>
      <w:tr w:rsidR="0024586E" w:rsidRPr="00FE5073" w14:paraId="207C1652" w14:textId="77777777" w:rsidTr="009A58B0">
        <w:trPr>
          <w:trHeight w:val="290"/>
        </w:trPr>
        <w:tc>
          <w:tcPr>
            <w:tcW w:w="2380" w:type="pct"/>
            <w:tcBorders>
              <w:top w:val="single" w:sz="4" w:space="0" w:color="8ED973"/>
              <w:left w:val="single" w:sz="4" w:space="0" w:color="4EA72E"/>
              <w:bottom w:val="nil"/>
              <w:right w:val="nil"/>
            </w:tcBorders>
            <w:hideMark/>
          </w:tcPr>
          <w:p w14:paraId="0F47C792"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ZŠ s excelentními výsledky v testech čtenářské gramotnosti (PISA)</w:t>
            </w:r>
          </w:p>
        </w:tc>
        <w:tc>
          <w:tcPr>
            <w:tcW w:w="649" w:type="pct"/>
            <w:tcBorders>
              <w:top w:val="single" w:sz="4" w:space="0" w:color="8ED973"/>
              <w:left w:val="nil"/>
              <w:bottom w:val="nil"/>
              <w:right w:val="nil"/>
            </w:tcBorders>
            <w:noWrap/>
            <w:hideMark/>
          </w:tcPr>
          <w:p w14:paraId="4FBFE150"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nil"/>
              <w:right w:val="nil"/>
            </w:tcBorders>
            <w:noWrap/>
            <w:hideMark/>
          </w:tcPr>
          <w:p w14:paraId="0F33998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nil"/>
              <w:right w:val="nil"/>
            </w:tcBorders>
            <w:noWrap/>
            <w:hideMark/>
          </w:tcPr>
          <w:p w14:paraId="49956CE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047F3E0C"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24586E" w:rsidRPr="00FE5073" w14:paraId="72B09C46" w14:textId="77777777" w:rsidTr="009A58B0">
        <w:trPr>
          <w:trHeight w:val="290"/>
        </w:trPr>
        <w:tc>
          <w:tcPr>
            <w:tcW w:w="2380" w:type="pct"/>
            <w:tcBorders>
              <w:top w:val="single" w:sz="4" w:space="0" w:color="8ED973"/>
              <w:left w:val="single" w:sz="4" w:space="0" w:color="4EA72E"/>
              <w:bottom w:val="single" w:sz="4" w:space="0" w:color="8ED973"/>
              <w:right w:val="nil"/>
            </w:tcBorders>
            <w:hideMark/>
          </w:tcPr>
          <w:p w14:paraId="537117F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Podíl žáků ZŠ s excelentními výsledky v testech matematické gramotnosti (PISA)</w:t>
            </w:r>
          </w:p>
        </w:tc>
        <w:tc>
          <w:tcPr>
            <w:tcW w:w="649" w:type="pct"/>
            <w:tcBorders>
              <w:top w:val="single" w:sz="4" w:space="0" w:color="8ED973"/>
              <w:left w:val="nil"/>
              <w:bottom w:val="single" w:sz="4" w:space="0" w:color="8ED973"/>
              <w:right w:val="nil"/>
            </w:tcBorders>
            <w:noWrap/>
            <w:hideMark/>
          </w:tcPr>
          <w:p w14:paraId="34B11FD8"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Nerovnosti</w:t>
            </w:r>
          </w:p>
        </w:tc>
        <w:tc>
          <w:tcPr>
            <w:tcW w:w="1190" w:type="pct"/>
            <w:tcBorders>
              <w:top w:val="single" w:sz="4" w:space="0" w:color="8ED973"/>
              <w:left w:val="nil"/>
              <w:bottom w:val="single" w:sz="4" w:space="0" w:color="8ED973"/>
              <w:right w:val="nil"/>
            </w:tcBorders>
            <w:noWrap/>
            <w:hideMark/>
          </w:tcPr>
          <w:p w14:paraId="0A1F7564"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Žáci v dovednostních úrovních</w:t>
            </w:r>
          </w:p>
        </w:tc>
        <w:tc>
          <w:tcPr>
            <w:tcW w:w="543" w:type="pct"/>
            <w:tcBorders>
              <w:top w:val="single" w:sz="4" w:space="0" w:color="8ED973"/>
              <w:left w:val="nil"/>
              <w:bottom w:val="single" w:sz="4" w:space="0" w:color="8ED973"/>
              <w:right w:val="nil"/>
            </w:tcBorders>
            <w:noWrap/>
            <w:hideMark/>
          </w:tcPr>
          <w:p w14:paraId="73E74196"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ZŠ, SŠ</w:t>
            </w:r>
          </w:p>
        </w:tc>
        <w:tc>
          <w:tcPr>
            <w:tcW w:w="239" w:type="pct"/>
            <w:tcBorders>
              <w:top w:val="single" w:sz="4" w:space="0" w:color="8ED973"/>
              <w:left w:val="nil"/>
              <w:bottom w:val="single" w:sz="4" w:space="0" w:color="8ED973"/>
              <w:right w:val="single" w:sz="4" w:space="0" w:color="4EA72E"/>
            </w:tcBorders>
            <w:noWrap/>
            <w:hideMark/>
          </w:tcPr>
          <w:p w14:paraId="09CC038B" w14:textId="77777777" w:rsidR="0024586E" w:rsidRPr="00FE5073" w:rsidRDefault="0024586E" w:rsidP="009574F4">
            <w:pPr>
              <w:spacing w:after="0"/>
              <w:rPr>
                <w:rFonts w:eastAsia="Times New Roman" w:cs="Calibri"/>
                <w:color w:val="000000"/>
                <w:sz w:val="20"/>
                <w:szCs w:val="20"/>
                <w:lang w:eastAsia="cs-CZ"/>
              </w:rPr>
            </w:pPr>
            <w:r w:rsidRPr="00FE5073">
              <w:rPr>
                <w:rFonts w:eastAsia="Times New Roman" w:cs="Calibri"/>
                <w:color w:val="000000"/>
                <w:sz w:val="20"/>
                <w:szCs w:val="20"/>
                <w:lang w:eastAsia="cs-CZ"/>
              </w:rPr>
              <w:t>14</w:t>
            </w:r>
          </w:p>
        </w:tc>
      </w:tr>
      <w:tr w:rsidR="00400FE9" w:rsidRPr="00FE5073" w14:paraId="2E8664B6" w14:textId="77777777" w:rsidTr="009A58B0">
        <w:trPr>
          <w:trHeight w:val="290"/>
        </w:trPr>
        <w:tc>
          <w:tcPr>
            <w:tcW w:w="2380" w:type="pct"/>
            <w:tcBorders>
              <w:top w:val="single" w:sz="4" w:space="0" w:color="8ED973"/>
              <w:left w:val="single" w:sz="4" w:space="0" w:color="4EA72E"/>
              <w:bottom w:val="single" w:sz="4" w:space="0" w:color="4EA72E"/>
              <w:right w:val="nil"/>
            </w:tcBorders>
          </w:tcPr>
          <w:p w14:paraId="45619616" w14:textId="77777777" w:rsidR="00400FE9" w:rsidRDefault="00400FE9" w:rsidP="009574F4">
            <w:pPr>
              <w:spacing w:after="0"/>
              <w:rPr>
                <w:rFonts w:eastAsia="Times New Roman" w:cs="Calibri"/>
                <w:color w:val="000000"/>
                <w:sz w:val="20"/>
                <w:szCs w:val="20"/>
                <w:lang w:eastAsia="cs-CZ"/>
              </w:rPr>
            </w:pPr>
          </w:p>
          <w:p w14:paraId="5B0802BA" w14:textId="77777777" w:rsidR="00400FE9" w:rsidRPr="00FE5073" w:rsidRDefault="00400FE9" w:rsidP="009574F4">
            <w:pPr>
              <w:spacing w:after="0"/>
              <w:rPr>
                <w:rFonts w:eastAsia="Times New Roman" w:cs="Calibri"/>
                <w:color w:val="000000"/>
                <w:sz w:val="20"/>
                <w:szCs w:val="20"/>
                <w:lang w:eastAsia="cs-CZ"/>
              </w:rPr>
            </w:pPr>
          </w:p>
        </w:tc>
        <w:tc>
          <w:tcPr>
            <w:tcW w:w="649" w:type="pct"/>
            <w:tcBorders>
              <w:top w:val="single" w:sz="4" w:space="0" w:color="8ED973"/>
              <w:left w:val="nil"/>
              <w:bottom w:val="single" w:sz="4" w:space="0" w:color="4EA72E"/>
              <w:right w:val="nil"/>
            </w:tcBorders>
            <w:noWrap/>
          </w:tcPr>
          <w:p w14:paraId="5D5D6FD0" w14:textId="77777777" w:rsidR="00400FE9" w:rsidRPr="00FE5073" w:rsidRDefault="00400FE9" w:rsidP="009574F4">
            <w:pPr>
              <w:spacing w:after="0"/>
              <w:rPr>
                <w:rFonts w:eastAsia="Times New Roman" w:cs="Calibri"/>
                <w:color w:val="000000"/>
                <w:sz w:val="20"/>
                <w:szCs w:val="20"/>
                <w:lang w:eastAsia="cs-CZ"/>
              </w:rPr>
            </w:pPr>
          </w:p>
        </w:tc>
        <w:tc>
          <w:tcPr>
            <w:tcW w:w="1190" w:type="pct"/>
            <w:tcBorders>
              <w:top w:val="single" w:sz="4" w:space="0" w:color="8ED973"/>
              <w:left w:val="nil"/>
              <w:bottom w:val="single" w:sz="4" w:space="0" w:color="4EA72E"/>
              <w:right w:val="nil"/>
            </w:tcBorders>
            <w:noWrap/>
          </w:tcPr>
          <w:p w14:paraId="64975B06" w14:textId="77777777" w:rsidR="00400FE9" w:rsidRPr="00FE5073" w:rsidRDefault="00400FE9" w:rsidP="009574F4">
            <w:pPr>
              <w:spacing w:after="0"/>
              <w:rPr>
                <w:rFonts w:eastAsia="Times New Roman" w:cs="Calibri"/>
                <w:color w:val="000000"/>
                <w:sz w:val="20"/>
                <w:szCs w:val="20"/>
                <w:lang w:eastAsia="cs-CZ"/>
              </w:rPr>
            </w:pPr>
          </w:p>
        </w:tc>
        <w:tc>
          <w:tcPr>
            <w:tcW w:w="543" w:type="pct"/>
            <w:tcBorders>
              <w:top w:val="single" w:sz="4" w:space="0" w:color="8ED973"/>
              <w:left w:val="nil"/>
              <w:bottom w:val="single" w:sz="4" w:space="0" w:color="4EA72E"/>
              <w:right w:val="nil"/>
            </w:tcBorders>
            <w:noWrap/>
          </w:tcPr>
          <w:p w14:paraId="1D8BD491" w14:textId="77777777" w:rsidR="00400FE9" w:rsidRPr="00FE5073" w:rsidRDefault="00400FE9" w:rsidP="009574F4">
            <w:pPr>
              <w:spacing w:after="0"/>
              <w:rPr>
                <w:rFonts w:eastAsia="Times New Roman" w:cs="Calibri"/>
                <w:color w:val="000000"/>
                <w:sz w:val="20"/>
                <w:szCs w:val="20"/>
                <w:lang w:eastAsia="cs-CZ"/>
              </w:rPr>
            </w:pPr>
          </w:p>
        </w:tc>
        <w:tc>
          <w:tcPr>
            <w:tcW w:w="239" w:type="pct"/>
            <w:tcBorders>
              <w:top w:val="single" w:sz="4" w:space="0" w:color="8ED973"/>
              <w:left w:val="nil"/>
              <w:bottom w:val="single" w:sz="4" w:space="0" w:color="4EA72E"/>
              <w:right w:val="single" w:sz="4" w:space="0" w:color="4EA72E"/>
            </w:tcBorders>
            <w:noWrap/>
          </w:tcPr>
          <w:p w14:paraId="18667AEC" w14:textId="77777777" w:rsidR="00400FE9" w:rsidRPr="00FE5073" w:rsidRDefault="00400FE9" w:rsidP="009574F4">
            <w:pPr>
              <w:spacing w:after="0"/>
              <w:rPr>
                <w:rFonts w:eastAsia="Times New Roman" w:cs="Calibri"/>
                <w:color w:val="000000"/>
                <w:sz w:val="20"/>
                <w:szCs w:val="20"/>
                <w:lang w:eastAsia="cs-CZ"/>
              </w:rPr>
            </w:pPr>
          </w:p>
        </w:tc>
      </w:tr>
    </w:tbl>
    <w:p w14:paraId="1B87EBD0" w14:textId="77777777" w:rsidR="00400FE9" w:rsidRDefault="00400FE9">
      <w:pPr>
        <w:spacing w:line="276" w:lineRule="auto"/>
        <w:rPr>
          <w:rFonts w:eastAsiaTheme="majorEastAsia" w:cstheme="majorBidi"/>
          <w:b/>
          <w:color w:val="4C4C4C"/>
          <w:sz w:val="24"/>
          <w:szCs w:val="23"/>
        </w:rPr>
      </w:pPr>
      <w:r>
        <w:br w:type="page"/>
      </w:r>
    </w:p>
    <w:p w14:paraId="7C680CC8" w14:textId="5B991A04" w:rsidR="0024586E" w:rsidRDefault="0024586E" w:rsidP="0024586E">
      <w:pPr>
        <w:pStyle w:val="Nadpis4"/>
        <w:rPr>
          <w:b w:val="0"/>
        </w:rPr>
      </w:pPr>
      <w:r>
        <w:lastRenderedPageBreak/>
        <w:t>Liberecký kraj</w:t>
      </w:r>
    </w:p>
    <w:p w14:paraId="3EBF4F77" w14:textId="77777777" w:rsidR="0024586E" w:rsidRDefault="0024586E" w:rsidP="0024586E">
      <w:pPr>
        <w:jc w:val="both"/>
      </w:pPr>
      <w:r>
        <w:t xml:space="preserve">Liberecký kraj má relativně vysoké průměrné platy školních psychologů k průměrné mzdě, nicméně počet úvazků školních psychologů na 10 tis. dětí a žáků je nízký. Nízký je také počet dětí na učitele v MŠ a podíl žáků, kteří se vzdělávají v neveřejných základních školách. </w:t>
      </w:r>
    </w:p>
    <w:p w14:paraId="4C5856FB" w14:textId="77777777" w:rsidR="0024586E" w:rsidRPr="006116C8" w:rsidRDefault="0024586E" w:rsidP="0024586E">
      <w:pPr>
        <w:jc w:val="both"/>
      </w:pPr>
      <w:r>
        <w:t>Míra odchodu žáků na víceletá gymnázia je nízká. Mezi absolventy středních škol je vysoký podíl žáků negymnaziálních oborů s maturitní zkouškou, naopak podíl žáků gymnaziálních oborů je nízký. Nízký je podíl žáků aspirujících na vysokoškolské vzdělání. V kraji je omezená kapacita školních družin. Nízké jsou podíly dětí a žáků se zdravotním znevýhodněním v běžných třídách a také dětí a žáků s přiznaným podpůrným opatřením s kódem NFN v MŠ a SŠ. Nízká je míra opakování ročníků v nematuritních oborech SŠ a také v oborech nástavbového studia. Index šikany zjišťovaný u žáků 8. ročníku v rámci šetření TIMSS je nízký, naopak pocit sounáležitosti se školou zjišťovaný u žáků 4. ročníků a u 15letých žáků je vysoký.</w:t>
      </w:r>
    </w:p>
    <w:tbl>
      <w:tblPr>
        <w:tblW w:w="5000" w:type="pct"/>
        <w:tblCellMar>
          <w:left w:w="70" w:type="dxa"/>
          <w:right w:w="70" w:type="dxa"/>
        </w:tblCellMar>
        <w:tblLook w:val="04A0" w:firstRow="1" w:lastRow="0" w:firstColumn="1" w:lastColumn="0" w:noHBand="0" w:noVBand="1"/>
      </w:tblPr>
      <w:tblGrid>
        <w:gridCol w:w="6790"/>
        <w:gridCol w:w="1853"/>
        <w:gridCol w:w="3493"/>
        <w:gridCol w:w="1459"/>
        <w:gridCol w:w="681"/>
      </w:tblGrid>
      <w:tr w:rsidR="0024586E" w:rsidRPr="007420A9" w14:paraId="16CA7559" w14:textId="77777777" w:rsidTr="009A58B0">
        <w:trPr>
          <w:trHeight w:val="290"/>
          <w:tblHeader/>
        </w:trPr>
        <w:tc>
          <w:tcPr>
            <w:tcW w:w="2379" w:type="pct"/>
            <w:tcBorders>
              <w:top w:val="single" w:sz="4" w:space="0" w:color="8ED973"/>
              <w:left w:val="single" w:sz="4" w:space="0" w:color="4EA72E"/>
              <w:bottom w:val="nil"/>
              <w:right w:val="nil"/>
            </w:tcBorders>
            <w:shd w:val="clear" w:color="4EA72E" w:fill="4EA72E"/>
            <w:vAlign w:val="bottom"/>
            <w:hideMark/>
          </w:tcPr>
          <w:p w14:paraId="740DB159" w14:textId="77777777" w:rsidR="0024586E" w:rsidRPr="007420A9" w:rsidRDefault="0024586E" w:rsidP="009574F4">
            <w:pPr>
              <w:spacing w:after="0"/>
              <w:rPr>
                <w:rFonts w:eastAsia="Times New Roman" w:cs="Calibri"/>
                <w:b/>
                <w:bCs/>
                <w:color w:val="FFFFFF"/>
                <w:sz w:val="20"/>
                <w:szCs w:val="20"/>
                <w:lang w:eastAsia="cs-CZ"/>
              </w:rPr>
            </w:pPr>
            <w:r w:rsidRPr="007420A9">
              <w:rPr>
                <w:rFonts w:eastAsia="Times New Roman" w:cs="Calibri"/>
                <w:b/>
                <w:bCs/>
                <w:color w:val="FFFFFF"/>
                <w:sz w:val="20"/>
                <w:szCs w:val="20"/>
                <w:lang w:eastAsia="cs-CZ"/>
              </w:rPr>
              <w:t>Název údaje</w:t>
            </w:r>
          </w:p>
        </w:tc>
        <w:tc>
          <w:tcPr>
            <w:tcW w:w="648" w:type="pct"/>
            <w:tcBorders>
              <w:top w:val="single" w:sz="4" w:space="0" w:color="8ED973"/>
              <w:left w:val="nil"/>
              <w:bottom w:val="nil"/>
              <w:right w:val="nil"/>
            </w:tcBorders>
            <w:shd w:val="clear" w:color="4EA72E" w:fill="4EA72E"/>
            <w:noWrap/>
            <w:vAlign w:val="bottom"/>
            <w:hideMark/>
          </w:tcPr>
          <w:p w14:paraId="4C599F30" w14:textId="77777777" w:rsidR="0024586E" w:rsidRPr="007420A9" w:rsidRDefault="0024586E" w:rsidP="009574F4">
            <w:pPr>
              <w:spacing w:after="0"/>
              <w:rPr>
                <w:rFonts w:eastAsia="Times New Roman" w:cs="Calibri"/>
                <w:b/>
                <w:bCs/>
                <w:color w:val="FFFFFF"/>
                <w:sz w:val="20"/>
                <w:szCs w:val="20"/>
                <w:lang w:eastAsia="cs-CZ"/>
              </w:rPr>
            </w:pPr>
            <w:r w:rsidRPr="007420A9">
              <w:rPr>
                <w:rFonts w:eastAsia="Times New Roman" w:cs="Calibri"/>
                <w:b/>
                <w:bCs/>
                <w:color w:val="FFFFFF"/>
                <w:sz w:val="20"/>
                <w:szCs w:val="20"/>
                <w:lang w:eastAsia="cs-CZ"/>
              </w:rPr>
              <w:t>Oblast</w:t>
            </w:r>
          </w:p>
        </w:tc>
        <w:tc>
          <w:tcPr>
            <w:tcW w:w="1224" w:type="pct"/>
            <w:tcBorders>
              <w:top w:val="single" w:sz="4" w:space="0" w:color="8ED973"/>
              <w:left w:val="nil"/>
              <w:bottom w:val="nil"/>
              <w:right w:val="nil"/>
            </w:tcBorders>
            <w:shd w:val="clear" w:color="4EA72E" w:fill="4EA72E"/>
            <w:noWrap/>
            <w:vAlign w:val="bottom"/>
            <w:hideMark/>
          </w:tcPr>
          <w:p w14:paraId="253CD805" w14:textId="77777777" w:rsidR="0024586E" w:rsidRPr="007420A9" w:rsidRDefault="0024586E" w:rsidP="009574F4">
            <w:pPr>
              <w:spacing w:after="0"/>
              <w:rPr>
                <w:rFonts w:eastAsia="Times New Roman" w:cs="Calibri"/>
                <w:b/>
                <w:bCs/>
                <w:color w:val="FFFFFF"/>
                <w:sz w:val="20"/>
                <w:szCs w:val="20"/>
                <w:lang w:eastAsia="cs-CZ"/>
              </w:rPr>
            </w:pPr>
            <w:r w:rsidRPr="007420A9">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2A37FAA7" w14:textId="77777777" w:rsidR="0024586E" w:rsidRPr="007420A9" w:rsidRDefault="0024586E" w:rsidP="009574F4">
            <w:pPr>
              <w:spacing w:after="0"/>
              <w:rPr>
                <w:rFonts w:eastAsia="Times New Roman" w:cs="Calibri"/>
                <w:b/>
                <w:bCs/>
                <w:color w:val="FFFFFF"/>
                <w:sz w:val="20"/>
                <w:szCs w:val="20"/>
                <w:lang w:eastAsia="cs-CZ"/>
              </w:rPr>
            </w:pPr>
            <w:r w:rsidRPr="007420A9">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4097B368" w14:textId="77777777" w:rsidR="0024586E" w:rsidRPr="007420A9" w:rsidRDefault="0024586E" w:rsidP="009574F4">
            <w:pPr>
              <w:spacing w:after="0"/>
              <w:rPr>
                <w:rFonts w:eastAsia="Times New Roman" w:cs="Calibri"/>
                <w:b/>
                <w:bCs/>
                <w:color w:val="FFFFFF"/>
                <w:sz w:val="20"/>
                <w:szCs w:val="20"/>
                <w:lang w:eastAsia="cs-CZ"/>
              </w:rPr>
            </w:pPr>
            <w:r w:rsidRPr="007420A9">
              <w:rPr>
                <w:rFonts w:eastAsia="Times New Roman" w:cs="Calibri"/>
                <w:b/>
                <w:bCs/>
                <w:color w:val="FFFFFF"/>
                <w:sz w:val="20"/>
                <w:szCs w:val="20"/>
                <w:lang w:eastAsia="cs-CZ"/>
              </w:rPr>
              <w:t>Pořadí</w:t>
            </w:r>
          </w:p>
        </w:tc>
      </w:tr>
      <w:tr w:rsidR="0024586E" w:rsidRPr="007420A9" w14:paraId="7C7D54E8" w14:textId="77777777" w:rsidTr="009A58B0">
        <w:trPr>
          <w:trHeight w:val="290"/>
        </w:trPr>
        <w:tc>
          <w:tcPr>
            <w:tcW w:w="2379" w:type="pct"/>
            <w:tcBorders>
              <w:top w:val="single" w:sz="4" w:space="0" w:color="8ED973"/>
              <w:left w:val="single" w:sz="4" w:space="0" w:color="4EA72E"/>
              <w:bottom w:val="nil"/>
              <w:right w:val="nil"/>
            </w:tcBorders>
            <w:hideMark/>
          </w:tcPr>
          <w:p w14:paraId="7004A5A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Průměrný plat školního psychologa k průměrné mzdě</w:t>
            </w:r>
          </w:p>
        </w:tc>
        <w:tc>
          <w:tcPr>
            <w:tcW w:w="648" w:type="pct"/>
            <w:tcBorders>
              <w:top w:val="single" w:sz="4" w:space="0" w:color="8ED973"/>
              <w:left w:val="nil"/>
              <w:bottom w:val="nil"/>
              <w:right w:val="nil"/>
            </w:tcBorders>
            <w:noWrap/>
            <w:hideMark/>
          </w:tcPr>
          <w:p w14:paraId="7D530A9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75C9714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4C0AD24F"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5632F8B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w:t>
            </w:r>
          </w:p>
        </w:tc>
      </w:tr>
      <w:tr w:rsidR="0024586E" w:rsidRPr="007420A9" w14:paraId="089C0E5C" w14:textId="77777777" w:rsidTr="009A58B0">
        <w:trPr>
          <w:trHeight w:val="290"/>
        </w:trPr>
        <w:tc>
          <w:tcPr>
            <w:tcW w:w="2379" w:type="pct"/>
            <w:tcBorders>
              <w:top w:val="single" w:sz="4" w:space="0" w:color="8ED973"/>
              <w:left w:val="single" w:sz="4" w:space="0" w:color="4EA72E"/>
              <w:bottom w:val="nil"/>
              <w:right w:val="nil"/>
            </w:tcBorders>
            <w:hideMark/>
          </w:tcPr>
          <w:p w14:paraId="6F2F37D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Počet úvazků psychologa na 10 tis. dětí a žáků za ředitelství</w:t>
            </w:r>
          </w:p>
        </w:tc>
        <w:tc>
          <w:tcPr>
            <w:tcW w:w="648" w:type="pct"/>
            <w:tcBorders>
              <w:top w:val="single" w:sz="4" w:space="0" w:color="8ED973"/>
              <w:left w:val="nil"/>
              <w:bottom w:val="nil"/>
              <w:right w:val="nil"/>
            </w:tcBorders>
            <w:noWrap/>
            <w:hideMark/>
          </w:tcPr>
          <w:p w14:paraId="017E6B8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69EF0E73"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130A42C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0BB06193"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13</w:t>
            </w:r>
          </w:p>
        </w:tc>
      </w:tr>
      <w:tr w:rsidR="0024586E" w:rsidRPr="007420A9" w14:paraId="0CAB3B8F" w14:textId="77777777" w:rsidTr="009A58B0">
        <w:trPr>
          <w:trHeight w:val="290"/>
        </w:trPr>
        <w:tc>
          <w:tcPr>
            <w:tcW w:w="2379" w:type="pct"/>
            <w:tcBorders>
              <w:top w:val="single" w:sz="4" w:space="0" w:color="8ED973"/>
              <w:left w:val="single" w:sz="4" w:space="0" w:color="4EA72E"/>
              <w:bottom w:val="nil"/>
              <w:right w:val="nil"/>
            </w:tcBorders>
            <w:hideMark/>
          </w:tcPr>
          <w:p w14:paraId="65DF9D9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Počet úvazků asistenta pedagoga v SŠ na 10 tis. žáků</w:t>
            </w:r>
          </w:p>
        </w:tc>
        <w:tc>
          <w:tcPr>
            <w:tcW w:w="648" w:type="pct"/>
            <w:tcBorders>
              <w:top w:val="single" w:sz="4" w:space="0" w:color="8ED973"/>
              <w:left w:val="nil"/>
              <w:bottom w:val="nil"/>
              <w:right w:val="nil"/>
            </w:tcBorders>
            <w:noWrap/>
            <w:hideMark/>
          </w:tcPr>
          <w:p w14:paraId="4EAE60BB"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12C1D7D4"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3181971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38E143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7F33ECF5" w14:textId="77777777" w:rsidTr="009A58B0">
        <w:trPr>
          <w:trHeight w:val="290"/>
        </w:trPr>
        <w:tc>
          <w:tcPr>
            <w:tcW w:w="2379" w:type="pct"/>
            <w:tcBorders>
              <w:top w:val="single" w:sz="4" w:space="0" w:color="8ED973"/>
              <w:left w:val="single" w:sz="4" w:space="0" w:color="4EA72E"/>
              <w:bottom w:val="nil"/>
              <w:right w:val="nil"/>
            </w:tcBorders>
            <w:hideMark/>
          </w:tcPr>
          <w:p w14:paraId="201896C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Počet dětí na učitele v MŠ běžných zřizovaných obcí</w:t>
            </w:r>
          </w:p>
        </w:tc>
        <w:tc>
          <w:tcPr>
            <w:tcW w:w="648" w:type="pct"/>
            <w:tcBorders>
              <w:top w:val="single" w:sz="4" w:space="0" w:color="8ED973"/>
              <w:left w:val="nil"/>
              <w:bottom w:val="nil"/>
              <w:right w:val="nil"/>
            </w:tcBorders>
            <w:noWrap/>
            <w:hideMark/>
          </w:tcPr>
          <w:p w14:paraId="6A5DCC4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2B72942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65AAD6F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605950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13</w:t>
            </w:r>
          </w:p>
        </w:tc>
      </w:tr>
      <w:tr w:rsidR="0024586E" w:rsidRPr="007420A9" w14:paraId="2955E8D0" w14:textId="77777777" w:rsidTr="009A58B0">
        <w:trPr>
          <w:trHeight w:val="290"/>
        </w:trPr>
        <w:tc>
          <w:tcPr>
            <w:tcW w:w="2379" w:type="pct"/>
            <w:tcBorders>
              <w:top w:val="single" w:sz="4" w:space="0" w:color="8ED973"/>
              <w:left w:val="single" w:sz="4" w:space="0" w:color="4EA72E"/>
              <w:bottom w:val="nil"/>
              <w:right w:val="nil"/>
            </w:tcBorders>
            <w:hideMark/>
          </w:tcPr>
          <w:p w14:paraId="0616800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vzdělávajících se v neveřejných ZŠ</w:t>
            </w:r>
          </w:p>
        </w:tc>
        <w:tc>
          <w:tcPr>
            <w:tcW w:w="648" w:type="pct"/>
            <w:tcBorders>
              <w:top w:val="single" w:sz="4" w:space="0" w:color="8ED973"/>
              <w:left w:val="nil"/>
              <w:bottom w:val="nil"/>
              <w:right w:val="nil"/>
            </w:tcBorders>
            <w:noWrap/>
            <w:hideMark/>
          </w:tcPr>
          <w:p w14:paraId="283A13F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571C9D88"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7FD44A1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E2B2C7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13</w:t>
            </w:r>
          </w:p>
        </w:tc>
      </w:tr>
      <w:tr w:rsidR="0024586E" w:rsidRPr="007420A9" w14:paraId="3353DC47" w14:textId="77777777" w:rsidTr="009A58B0">
        <w:trPr>
          <w:trHeight w:val="520"/>
        </w:trPr>
        <w:tc>
          <w:tcPr>
            <w:tcW w:w="2379" w:type="pct"/>
            <w:tcBorders>
              <w:top w:val="single" w:sz="4" w:space="0" w:color="8ED973"/>
              <w:left w:val="single" w:sz="4" w:space="0" w:color="4EA72E"/>
              <w:bottom w:val="nil"/>
              <w:right w:val="nil"/>
            </w:tcBorders>
            <w:hideMark/>
          </w:tcPr>
          <w:p w14:paraId="5FD138A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absolventů středního vzdělávání s maturitní zkouškou v negymnaziálních oborech v denní formě vzdělávání</w:t>
            </w:r>
          </w:p>
        </w:tc>
        <w:tc>
          <w:tcPr>
            <w:tcW w:w="648" w:type="pct"/>
            <w:tcBorders>
              <w:top w:val="single" w:sz="4" w:space="0" w:color="8ED973"/>
              <w:left w:val="nil"/>
              <w:bottom w:val="nil"/>
              <w:right w:val="nil"/>
            </w:tcBorders>
            <w:noWrap/>
            <w:hideMark/>
          </w:tcPr>
          <w:p w14:paraId="7876FDE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7F7CA0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Absolventi</w:t>
            </w:r>
          </w:p>
        </w:tc>
        <w:tc>
          <w:tcPr>
            <w:tcW w:w="511" w:type="pct"/>
            <w:tcBorders>
              <w:top w:val="single" w:sz="4" w:space="0" w:color="8ED973"/>
              <w:left w:val="nil"/>
              <w:bottom w:val="nil"/>
              <w:right w:val="nil"/>
            </w:tcBorders>
            <w:noWrap/>
            <w:hideMark/>
          </w:tcPr>
          <w:p w14:paraId="480E6E7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CAFE793"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2</w:t>
            </w:r>
          </w:p>
        </w:tc>
      </w:tr>
      <w:tr w:rsidR="0024586E" w:rsidRPr="007420A9" w14:paraId="74E93E42" w14:textId="77777777" w:rsidTr="009A58B0">
        <w:trPr>
          <w:trHeight w:val="520"/>
        </w:trPr>
        <w:tc>
          <w:tcPr>
            <w:tcW w:w="2379" w:type="pct"/>
            <w:tcBorders>
              <w:top w:val="single" w:sz="4" w:space="0" w:color="8ED973"/>
              <w:left w:val="single" w:sz="4" w:space="0" w:color="4EA72E"/>
              <w:bottom w:val="nil"/>
              <w:right w:val="nil"/>
            </w:tcBorders>
            <w:hideMark/>
          </w:tcPr>
          <w:p w14:paraId="33365C98"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absolventů středního vzdělávání s maturitní zkouškou v gymnaziálních oborech v denní formě vzdělávání</w:t>
            </w:r>
          </w:p>
        </w:tc>
        <w:tc>
          <w:tcPr>
            <w:tcW w:w="648" w:type="pct"/>
            <w:tcBorders>
              <w:top w:val="single" w:sz="4" w:space="0" w:color="8ED973"/>
              <w:left w:val="nil"/>
              <w:bottom w:val="nil"/>
              <w:right w:val="nil"/>
            </w:tcBorders>
            <w:noWrap/>
            <w:hideMark/>
          </w:tcPr>
          <w:p w14:paraId="478B140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D8C1E18"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Absolventi</w:t>
            </w:r>
          </w:p>
        </w:tc>
        <w:tc>
          <w:tcPr>
            <w:tcW w:w="511" w:type="pct"/>
            <w:tcBorders>
              <w:top w:val="single" w:sz="4" w:space="0" w:color="8ED973"/>
              <w:left w:val="nil"/>
              <w:bottom w:val="nil"/>
              <w:right w:val="nil"/>
            </w:tcBorders>
            <w:noWrap/>
            <w:hideMark/>
          </w:tcPr>
          <w:p w14:paraId="436B587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082E57C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70410FED" w14:textId="77777777" w:rsidTr="009A58B0">
        <w:trPr>
          <w:trHeight w:val="520"/>
        </w:trPr>
        <w:tc>
          <w:tcPr>
            <w:tcW w:w="2379" w:type="pct"/>
            <w:tcBorders>
              <w:top w:val="single" w:sz="4" w:space="0" w:color="8ED973"/>
              <w:left w:val="single" w:sz="4" w:space="0" w:color="4EA72E"/>
              <w:bottom w:val="nil"/>
              <w:right w:val="nil"/>
            </w:tcBorders>
            <w:hideMark/>
          </w:tcPr>
          <w:p w14:paraId="33065E3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nově přijatých žáků do 1. ročníku středního vzdělávání s výučním listem v</w:t>
            </w:r>
            <w:r>
              <w:rPr>
                <w:rFonts w:eastAsia="Times New Roman" w:cs="Calibri"/>
                <w:color w:val="000000"/>
                <w:sz w:val="20"/>
                <w:szCs w:val="20"/>
                <w:lang w:eastAsia="cs-CZ"/>
              </w:rPr>
              <w:t> </w:t>
            </w:r>
            <w:r w:rsidRPr="007420A9">
              <w:rPr>
                <w:rFonts w:eastAsia="Times New Roman" w:cs="Calibri"/>
                <w:color w:val="000000"/>
                <w:sz w:val="20"/>
                <w:szCs w:val="20"/>
                <w:lang w:eastAsia="cs-CZ"/>
              </w:rPr>
              <w:t>denní formě vzdělávání</w:t>
            </w:r>
          </w:p>
        </w:tc>
        <w:tc>
          <w:tcPr>
            <w:tcW w:w="648" w:type="pct"/>
            <w:tcBorders>
              <w:top w:val="single" w:sz="4" w:space="0" w:color="8ED973"/>
              <w:left w:val="nil"/>
              <w:bottom w:val="nil"/>
              <w:right w:val="nil"/>
            </w:tcBorders>
            <w:noWrap/>
            <w:hideMark/>
          </w:tcPr>
          <w:p w14:paraId="16584D2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5494925B"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62BF87F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8CF356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2</w:t>
            </w:r>
          </w:p>
        </w:tc>
      </w:tr>
      <w:tr w:rsidR="0024586E" w:rsidRPr="007420A9" w14:paraId="449FCADA" w14:textId="77777777" w:rsidTr="009A58B0">
        <w:trPr>
          <w:trHeight w:val="520"/>
        </w:trPr>
        <w:tc>
          <w:tcPr>
            <w:tcW w:w="2379" w:type="pct"/>
            <w:tcBorders>
              <w:top w:val="single" w:sz="4" w:space="0" w:color="8ED973"/>
              <w:left w:val="single" w:sz="4" w:space="0" w:color="4EA72E"/>
              <w:bottom w:val="nil"/>
              <w:right w:val="nil"/>
            </w:tcBorders>
            <w:hideMark/>
          </w:tcPr>
          <w:p w14:paraId="0B0CF0EF"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1. stupně ZŠ, kteří se vzdělávají ve školách se školní družinou, u níž je naplněná nebo překročená kapacita</w:t>
            </w:r>
          </w:p>
        </w:tc>
        <w:tc>
          <w:tcPr>
            <w:tcW w:w="648" w:type="pct"/>
            <w:tcBorders>
              <w:top w:val="single" w:sz="4" w:space="0" w:color="8ED973"/>
              <w:left w:val="nil"/>
              <w:bottom w:val="nil"/>
              <w:right w:val="nil"/>
            </w:tcBorders>
            <w:noWrap/>
            <w:hideMark/>
          </w:tcPr>
          <w:p w14:paraId="0A83C1C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7BAE285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634F6AA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8BB4DA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2</w:t>
            </w:r>
          </w:p>
        </w:tc>
      </w:tr>
      <w:tr w:rsidR="0024586E" w:rsidRPr="007420A9" w14:paraId="24AF9773" w14:textId="77777777" w:rsidTr="009A58B0">
        <w:trPr>
          <w:trHeight w:val="520"/>
        </w:trPr>
        <w:tc>
          <w:tcPr>
            <w:tcW w:w="2379" w:type="pct"/>
            <w:tcBorders>
              <w:top w:val="single" w:sz="4" w:space="0" w:color="8ED973"/>
              <w:left w:val="single" w:sz="4" w:space="0" w:color="4EA72E"/>
              <w:bottom w:val="nil"/>
              <w:right w:val="nil"/>
            </w:tcBorders>
            <w:hideMark/>
          </w:tcPr>
          <w:p w14:paraId="4135E15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základních škol se školní družinou, u níž je naplněná nebo překročená kapacita</w:t>
            </w:r>
          </w:p>
        </w:tc>
        <w:tc>
          <w:tcPr>
            <w:tcW w:w="648" w:type="pct"/>
            <w:tcBorders>
              <w:top w:val="single" w:sz="4" w:space="0" w:color="8ED973"/>
              <w:left w:val="nil"/>
              <w:bottom w:val="nil"/>
              <w:right w:val="nil"/>
            </w:tcBorders>
            <w:noWrap/>
            <w:hideMark/>
          </w:tcPr>
          <w:p w14:paraId="4B129FC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488284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167CF75E"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32A9C0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2</w:t>
            </w:r>
          </w:p>
        </w:tc>
      </w:tr>
      <w:tr w:rsidR="0024586E" w:rsidRPr="007420A9" w14:paraId="39E7A6D6" w14:textId="77777777" w:rsidTr="009A58B0">
        <w:trPr>
          <w:trHeight w:val="520"/>
        </w:trPr>
        <w:tc>
          <w:tcPr>
            <w:tcW w:w="2379" w:type="pct"/>
            <w:tcBorders>
              <w:top w:val="single" w:sz="4" w:space="0" w:color="8ED973"/>
              <w:left w:val="single" w:sz="4" w:space="0" w:color="4EA72E"/>
              <w:bottom w:val="nil"/>
              <w:right w:val="nil"/>
            </w:tcBorders>
            <w:hideMark/>
          </w:tcPr>
          <w:p w14:paraId="7F51DC6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s lehkým mentálním postižením v běžných a speciálních třídách ZŠ</w:t>
            </w:r>
          </w:p>
        </w:tc>
        <w:tc>
          <w:tcPr>
            <w:tcW w:w="648" w:type="pct"/>
            <w:tcBorders>
              <w:top w:val="single" w:sz="4" w:space="0" w:color="8ED973"/>
              <w:left w:val="nil"/>
              <w:bottom w:val="nil"/>
              <w:right w:val="nil"/>
            </w:tcBorders>
            <w:noWrap/>
            <w:hideMark/>
          </w:tcPr>
          <w:p w14:paraId="028091FE"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196D7074"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167FC7F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F26431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2</w:t>
            </w:r>
          </w:p>
        </w:tc>
      </w:tr>
      <w:tr w:rsidR="0024586E" w:rsidRPr="007420A9" w14:paraId="301D9011" w14:textId="77777777" w:rsidTr="009A58B0">
        <w:trPr>
          <w:trHeight w:val="520"/>
        </w:trPr>
        <w:tc>
          <w:tcPr>
            <w:tcW w:w="2379" w:type="pct"/>
            <w:tcBorders>
              <w:top w:val="single" w:sz="4" w:space="0" w:color="8ED973"/>
              <w:left w:val="single" w:sz="4" w:space="0" w:color="4EA72E"/>
              <w:bottom w:val="nil"/>
              <w:right w:val="nil"/>
            </w:tcBorders>
            <w:hideMark/>
          </w:tcPr>
          <w:p w14:paraId="06F83A6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dětí ve věku 6 let navštěvujících zařízení předškolního vzdělávání z dané věkové skupiny</w:t>
            </w:r>
          </w:p>
        </w:tc>
        <w:tc>
          <w:tcPr>
            <w:tcW w:w="648" w:type="pct"/>
            <w:tcBorders>
              <w:top w:val="single" w:sz="4" w:space="0" w:color="8ED973"/>
              <w:left w:val="nil"/>
              <w:bottom w:val="nil"/>
              <w:right w:val="nil"/>
            </w:tcBorders>
            <w:noWrap/>
            <w:hideMark/>
          </w:tcPr>
          <w:p w14:paraId="7BE5796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D6E50A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C1935B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E2F856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13</w:t>
            </w:r>
          </w:p>
        </w:tc>
      </w:tr>
      <w:tr w:rsidR="0024586E" w:rsidRPr="007420A9" w14:paraId="144F8700" w14:textId="77777777" w:rsidTr="009A58B0">
        <w:trPr>
          <w:trHeight w:val="520"/>
        </w:trPr>
        <w:tc>
          <w:tcPr>
            <w:tcW w:w="2379" w:type="pct"/>
            <w:tcBorders>
              <w:top w:val="single" w:sz="4" w:space="0" w:color="8ED973"/>
              <w:left w:val="single" w:sz="4" w:space="0" w:color="4EA72E"/>
              <w:bottom w:val="nil"/>
              <w:right w:val="nil"/>
            </w:tcBorders>
            <w:hideMark/>
          </w:tcPr>
          <w:p w14:paraId="792CB94F"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dětí se zdravotním znevýhodněním vzdělávajících se v běžných třídách MŠ</w:t>
            </w:r>
          </w:p>
        </w:tc>
        <w:tc>
          <w:tcPr>
            <w:tcW w:w="648" w:type="pct"/>
            <w:tcBorders>
              <w:top w:val="single" w:sz="4" w:space="0" w:color="8ED973"/>
              <w:left w:val="nil"/>
              <w:bottom w:val="nil"/>
              <w:right w:val="nil"/>
            </w:tcBorders>
            <w:noWrap/>
            <w:hideMark/>
          </w:tcPr>
          <w:p w14:paraId="43CE036F"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51669D5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68AF725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DC25BFB"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6DA7C0D6" w14:textId="77777777" w:rsidTr="009A58B0">
        <w:trPr>
          <w:trHeight w:val="520"/>
        </w:trPr>
        <w:tc>
          <w:tcPr>
            <w:tcW w:w="2379" w:type="pct"/>
            <w:tcBorders>
              <w:top w:val="single" w:sz="4" w:space="0" w:color="8ED973"/>
              <w:left w:val="single" w:sz="4" w:space="0" w:color="4EA72E"/>
              <w:bottom w:val="nil"/>
              <w:right w:val="nil"/>
            </w:tcBorders>
            <w:hideMark/>
          </w:tcPr>
          <w:p w14:paraId="49FAC42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se zdravotním znevýhodněním vzdělávajících se v běžných třídách SŠ v denní formě vzdělávání</w:t>
            </w:r>
          </w:p>
        </w:tc>
        <w:tc>
          <w:tcPr>
            <w:tcW w:w="648" w:type="pct"/>
            <w:tcBorders>
              <w:top w:val="single" w:sz="4" w:space="0" w:color="8ED973"/>
              <w:left w:val="nil"/>
              <w:bottom w:val="nil"/>
              <w:right w:val="nil"/>
            </w:tcBorders>
            <w:noWrap/>
            <w:hideMark/>
          </w:tcPr>
          <w:p w14:paraId="3444962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46419C5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E181364"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CACD65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462FC49D" w14:textId="77777777" w:rsidTr="009A58B0">
        <w:trPr>
          <w:trHeight w:val="290"/>
        </w:trPr>
        <w:tc>
          <w:tcPr>
            <w:tcW w:w="2379" w:type="pct"/>
            <w:tcBorders>
              <w:top w:val="single" w:sz="4" w:space="0" w:color="8ED973"/>
              <w:left w:val="single" w:sz="4" w:space="0" w:color="4EA72E"/>
              <w:bottom w:val="nil"/>
              <w:right w:val="nil"/>
            </w:tcBorders>
            <w:hideMark/>
          </w:tcPr>
          <w:p w14:paraId="579DCDE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lastRenderedPageBreak/>
              <w:t>Podíl dětí s přiznaným podpůrným opatřením s kódem NFN v MŠ</w:t>
            </w:r>
          </w:p>
        </w:tc>
        <w:tc>
          <w:tcPr>
            <w:tcW w:w="648" w:type="pct"/>
            <w:tcBorders>
              <w:top w:val="single" w:sz="4" w:space="0" w:color="8ED973"/>
              <w:left w:val="nil"/>
              <w:bottom w:val="nil"/>
              <w:right w:val="nil"/>
            </w:tcBorders>
            <w:noWrap/>
            <w:hideMark/>
          </w:tcPr>
          <w:p w14:paraId="5BF0C9A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F7497A8"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6EAE444"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C43F58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6FA43382" w14:textId="77777777" w:rsidTr="009A58B0">
        <w:trPr>
          <w:trHeight w:val="290"/>
        </w:trPr>
        <w:tc>
          <w:tcPr>
            <w:tcW w:w="2379" w:type="pct"/>
            <w:tcBorders>
              <w:top w:val="single" w:sz="4" w:space="0" w:color="8ED973"/>
              <w:left w:val="single" w:sz="4" w:space="0" w:color="4EA72E"/>
              <w:bottom w:val="nil"/>
              <w:right w:val="nil"/>
            </w:tcBorders>
            <w:hideMark/>
          </w:tcPr>
          <w:p w14:paraId="3196A33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s přiznaným podpůrným opatřením s kódem NFN v SŠ</w:t>
            </w:r>
          </w:p>
        </w:tc>
        <w:tc>
          <w:tcPr>
            <w:tcW w:w="648" w:type="pct"/>
            <w:tcBorders>
              <w:top w:val="single" w:sz="4" w:space="0" w:color="8ED973"/>
              <w:left w:val="nil"/>
              <w:bottom w:val="nil"/>
              <w:right w:val="nil"/>
            </w:tcBorders>
            <w:noWrap/>
            <w:hideMark/>
          </w:tcPr>
          <w:p w14:paraId="7AFF2E58"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AA1D1DE"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1CFCFAB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302AA90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7B0C6352" w14:textId="77777777" w:rsidTr="009A58B0">
        <w:trPr>
          <w:trHeight w:val="290"/>
        </w:trPr>
        <w:tc>
          <w:tcPr>
            <w:tcW w:w="2379" w:type="pct"/>
            <w:tcBorders>
              <w:top w:val="single" w:sz="4" w:space="0" w:color="8ED973"/>
              <w:left w:val="single" w:sz="4" w:space="0" w:color="4EA72E"/>
              <w:bottom w:val="nil"/>
              <w:right w:val="nil"/>
            </w:tcBorders>
            <w:hideMark/>
          </w:tcPr>
          <w:p w14:paraId="0958EFA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Míra odchodů na víceletá gymnázia a konzervatoře</w:t>
            </w:r>
          </w:p>
        </w:tc>
        <w:tc>
          <w:tcPr>
            <w:tcW w:w="648" w:type="pct"/>
            <w:tcBorders>
              <w:top w:val="single" w:sz="4" w:space="0" w:color="8ED973"/>
              <w:left w:val="nil"/>
              <w:bottom w:val="nil"/>
              <w:right w:val="nil"/>
            </w:tcBorders>
            <w:noWrap/>
            <w:hideMark/>
          </w:tcPr>
          <w:p w14:paraId="33ED8818"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A8AD8AF"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BA794DA"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670662E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68DFAB5A" w14:textId="77777777" w:rsidTr="009A58B0">
        <w:trPr>
          <w:trHeight w:val="290"/>
        </w:trPr>
        <w:tc>
          <w:tcPr>
            <w:tcW w:w="2379" w:type="pct"/>
            <w:tcBorders>
              <w:top w:val="single" w:sz="4" w:space="0" w:color="8ED973"/>
              <w:left w:val="single" w:sz="4" w:space="0" w:color="4EA72E"/>
              <w:bottom w:val="nil"/>
              <w:right w:val="nil"/>
            </w:tcBorders>
            <w:hideMark/>
          </w:tcPr>
          <w:p w14:paraId="254B3E3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Procento 15letých žáků s aspirací dosáhnout vysokoškolského vzdělání</w:t>
            </w:r>
          </w:p>
        </w:tc>
        <w:tc>
          <w:tcPr>
            <w:tcW w:w="648" w:type="pct"/>
            <w:tcBorders>
              <w:top w:val="single" w:sz="4" w:space="0" w:color="8ED973"/>
              <w:left w:val="nil"/>
              <w:bottom w:val="nil"/>
              <w:right w:val="nil"/>
            </w:tcBorders>
            <w:noWrap/>
            <w:hideMark/>
          </w:tcPr>
          <w:p w14:paraId="529EC6E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0408C1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Vzdělanostní aspirace</w:t>
            </w:r>
          </w:p>
        </w:tc>
        <w:tc>
          <w:tcPr>
            <w:tcW w:w="511" w:type="pct"/>
            <w:tcBorders>
              <w:top w:val="single" w:sz="4" w:space="0" w:color="8ED973"/>
              <w:left w:val="nil"/>
              <w:bottom w:val="nil"/>
              <w:right w:val="nil"/>
            </w:tcBorders>
            <w:noWrap/>
            <w:hideMark/>
          </w:tcPr>
          <w:p w14:paraId="374B2CD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5A040FD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0C1AE357" w14:textId="77777777" w:rsidTr="009A58B0">
        <w:trPr>
          <w:trHeight w:val="290"/>
        </w:trPr>
        <w:tc>
          <w:tcPr>
            <w:tcW w:w="2379" w:type="pct"/>
            <w:tcBorders>
              <w:top w:val="single" w:sz="4" w:space="0" w:color="8ED973"/>
              <w:left w:val="single" w:sz="4" w:space="0" w:color="4EA72E"/>
              <w:bottom w:val="nil"/>
              <w:right w:val="nil"/>
            </w:tcBorders>
            <w:hideMark/>
          </w:tcPr>
          <w:p w14:paraId="67BD812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opakujících ročník v SŠ v oborech nástavbového studia</w:t>
            </w:r>
          </w:p>
        </w:tc>
        <w:tc>
          <w:tcPr>
            <w:tcW w:w="648" w:type="pct"/>
            <w:tcBorders>
              <w:top w:val="single" w:sz="4" w:space="0" w:color="8ED973"/>
              <w:left w:val="nil"/>
              <w:bottom w:val="nil"/>
              <w:right w:val="nil"/>
            </w:tcBorders>
            <w:noWrap/>
            <w:hideMark/>
          </w:tcPr>
          <w:p w14:paraId="6C10666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4C35177E"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2BD31EB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D4DC8B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13</w:t>
            </w:r>
          </w:p>
        </w:tc>
      </w:tr>
      <w:tr w:rsidR="0024586E" w:rsidRPr="007420A9" w14:paraId="3139216C" w14:textId="77777777" w:rsidTr="009A58B0">
        <w:trPr>
          <w:trHeight w:val="290"/>
        </w:trPr>
        <w:tc>
          <w:tcPr>
            <w:tcW w:w="2379" w:type="pct"/>
            <w:tcBorders>
              <w:top w:val="single" w:sz="4" w:space="0" w:color="8ED973"/>
              <w:left w:val="single" w:sz="4" w:space="0" w:color="4EA72E"/>
              <w:bottom w:val="nil"/>
              <w:right w:val="nil"/>
            </w:tcBorders>
            <w:hideMark/>
          </w:tcPr>
          <w:p w14:paraId="7E902A9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opakujících ročník v SŠ v nematuritních oborech</w:t>
            </w:r>
          </w:p>
        </w:tc>
        <w:tc>
          <w:tcPr>
            <w:tcW w:w="648" w:type="pct"/>
            <w:tcBorders>
              <w:top w:val="single" w:sz="4" w:space="0" w:color="8ED973"/>
              <w:left w:val="nil"/>
              <w:bottom w:val="nil"/>
              <w:right w:val="nil"/>
            </w:tcBorders>
            <w:noWrap/>
            <w:hideMark/>
          </w:tcPr>
          <w:p w14:paraId="7BBDCBB9"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3B3D6A53"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3E24BE34"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22A1B8BE"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3D228492" w14:textId="77777777" w:rsidTr="009A58B0">
        <w:trPr>
          <w:trHeight w:val="520"/>
        </w:trPr>
        <w:tc>
          <w:tcPr>
            <w:tcW w:w="2379" w:type="pct"/>
            <w:tcBorders>
              <w:top w:val="single" w:sz="4" w:space="0" w:color="8ED973"/>
              <w:left w:val="single" w:sz="4" w:space="0" w:color="4EA72E"/>
              <w:bottom w:val="nil"/>
              <w:right w:val="nil"/>
            </w:tcBorders>
            <w:hideMark/>
          </w:tcPr>
          <w:p w14:paraId="77C40240"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odcházející ze základní školy bez dosaženého stupně vzdělání v</w:t>
            </w:r>
            <w:r>
              <w:rPr>
                <w:rFonts w:eastAsia="Times New Roman" w:cs="Calibri"/>
                <w:color w:val="000000"/>
                <w:sz w:val="20"/>
                <w:szCs w:val="20"/>
                <w:lang w:eastAsia="cs-CZ"/>
              </w:rPr>
              <w:t> </w:t>
            </w:r>
            <w:r w:rsidRPr="007420A9">
              <w:rPr>
                <w:rFonts w:eastAsia="Times New Roman" w:cs="Calibri"/>
                <w:color w:val="000000"/>
                <w:sz w:val="20"/>
                <w:szCs w:val="20"/>
                <w:lang w:eastAsia="cs-CZ"/>
              </w:rPr>
              <w:t>oboru Základní škola speciální</w:t>
            </w:r>
          </w:p>
        </w:tc>
        <w:tc>
          <w:tcPr>
            <w:tcW w:w="648" w:type="pct"/>
            <w:tcBorders>
              <w:top w:val="single" w:sz="4" w:space="0" w:color="8ED973"/>
              <w:left w:val="nil"/>
              <w:bottom w:val="nil"/>
              <w:right w:val="nil"/>
            </w:tcBorders>
            <w:noWrap/>
            <w:hideMark/>
          </w:tcPr>
          <w:p w14:paraId="35973F2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065F4072"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0F381781"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5EA6B4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106866CD" w14:textId="77777777" w:rsidTr="009A58B0">
        <w:trPr>
          <w:trHeight w:val="290"/>
        </w:trPr>
        <w:tc>
          <w:tcPr>
            <w:tcW w:w="2379" w:type="pct"/>
            <w:tcBorders>
              <w:top w:val="single" w:sz="4" w:space="0" w:color="8ED973"/>
              <w:left w:val="single" w:sz="4" w:space="0" w:color="4EA72E"/>
              <w:bottom w:val="nil"/>
              <w:right w:val="nil"/>
            </w:tcBorders>
            <w:hideMark/>
          </w:tcPr>
          <w:p w14:paraId="70449F97"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Index šikany (TIMSS) - žáci 8. ročníků ZŠ</w:t>
            </w:r>
          </w:p>
        </w:tc>
        <w:tc>
          <w:tcPr>
            <w:tcW w:w="648" w:type="pct"/>
            <w:tcBorders>
              <w:top w:val="single" w:sz="4" w:space="0" w:color="8ED973"/>
              <w:left w:val="nil"/>
              <w:bottom w:val="nil"/>
              <w:right w:val="nil"/>
            </w:tcBorders>
            <w:noWrap/>
            <w:hideMark/>
          </w:tcPr>
          <w:p w14:paraId="13AB59C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2FA096FD"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3ECD445F"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3C4CFE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14</w:t>
            </w:r>
          </w:p>
        </w:tc>
      </w:tr>
      <w:tr w:rsidR="0024586E" w:rsidRPr="007420A9" w14:paraId="7B54F2FC" w14:textId="77777777" w:rsidTr="009A58B0">
        <w:trPr>
          <w:trHeight w:val="290"/>
        </w:trPr>
        <w:tc>
          <w:tcPr>
            <w:tcW w:w="2379" w:type="pct"/>
            <w:tcBorders>
              <w:top w:val="single" w:sz="4" w:space="0" w:color="8ED973"/>
              <w:left w:val="single" w:sz="4" w:space="0" w:color="4EA72E"/>
              <w:bottom w:val="nil"/>
              <w:right w:val="nil"/>
            </w:tcBorders>
            <w:hideMark/>
          </w:tcPr>
          <w:p w14:paraId="103C7B73"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Pocit sounáležitosti TIMSS – žáci 4. ročníků ZŠ</w:t>
            </w:r>
          </w:p>
        </w:tc>
        <w:tc>
          <w:tcPr>
            <w:tcW w:w="648" w:type="pct"/>
            <w:tcBorders>
              <w:top w:val="single" w:sz="4" w:space="0" w:color="8ED973"/>
              <w:left w:val="nil"/>
              <w:bottom w:val="nil"/>
              <w:right w:val="nil"/>
            </w:tcBorders>
            <w:noWrap/>
            <w:hideMark/>
          </w:tcPr>
          <w:p w14:paraId="7B58AE5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1425F97C"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0FE0B97B"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B38565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w:t>
            </w:r>
          </w:p>
        </w:tc>
      </w:tr>
      <w:tr w:rsidR="0024586E" w:rsidRPr="007420A9" w14:paraId="118A3B5B" w14:textId="77777777" w:rsidTr="009A58B0">
        <w:trPr>
          <w:trHeight w:val="520"/>
        </w:trPr>
        <w:tc>
          <w:tcPr>
            <w:tcW w:w="2379" w:type="pct"/>
            <w:tcBorders>
              <w:top w:val="single" w:sz="4" w:space="0" w:color="8ED973"/>
              <w:left w:val="single" w:sz="4" w:space="0" w:color="4EA72E"/>
              <w:bottom w:val="single" w:sz="4" w:space="0" w:color="4EA72E"/>
              <w:right w:val="nil"/>
            </w:tcBorders>
            <w:hideMark/>
          </w:tcPr>
          <w:p w14:paraId="04FAB446"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Podíl žáků vyjadřujících souhlas s výrokem "Cítím, že do školy patřím" (PISA, 15letí)</w:t>
            </w:r>
          </w:p>
        </w:tc>
        <w:tc>
          <w:tcPr>
            <w:tcW w:w="648" w:type="pct"/>
            <w:tcBorders>
              <w:top w:val="single" w:sz="4" w:space="0" w:color="8ED973"/>
              <w:left w:val="nil"/>
              <w:bottom w:val="single" w:sz="4" w:space="0" w:color="4EA72E"/>
              <w:right w:val="nil"/>
            </w:tcBorders>
            <w:noWrap/>
            <w:hideMark/>
          </w:tcPr>
          <w:p w14:paraId="20E28553"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Well-being</w:t>
            </w:r>
          </w:p>
        </w:tc>
        <w:tc>
          <w:tcPr>
            <w:tcW w:w="1224" w:type="pct"/>
            <w:tcBorders>
              <w:top w:val="single" w:sz="4" w:space="0" w:color="8ED973"/>
              <w:left w:val="nil"/>
              <w:bottom w:val="single" w:sz="4" w:space="0" w:color="4EA72E"/>
              <w:right w:val="nil"/>
            </w:tcBorders>
            <w:noWrap/>
            <w:hideMark/>
          </w:tcPr>
          <w:p w14:paraId="2D2174DB"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Sounáležitost se školou</w:t>
            </w:r>
          </w:p>
        </w:tc>
        <w:tc>
          <w:tcPr>
            <w:tcW w:w="511" w:type="pct"/>
            <w:tcBorders>
              <w:top w:val="single" w:sz="4" w:space="0" w:color="8ED973"/>
              <w:left w:val="nil"/>
              <w:bottom w:val="single" w:sz="4" w:space="0" w:color="4EA72E"/>
              <w:right w:val="nil"/>
            </w:tcBorders>
            <w:noWrap/>
            <w:hideMark/>
          </w:tcPr>
          <w:p w14:paraId="778CB5C5"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ZŠ, SŠ</w:t>
            </w:r>
          </w:p>
        </w:tc>
        <w:tc>
          <w:tcPr>
            <w:tcW w:w="239" w:type="pct"/>
            <w:tcBorders>
              <w:top w:val="single" w:sz="4" w:space="0" w:color="8ED973"/>
              <w:left w:val="nil"/>
              <w:bottom w:val="single" w:sz="4" w:space="0" w:color="4EA72E"/>
              <w:right w:val="single" w:sz="4" w:space="0" w:color="4EA72E"/>
            </w:tcBorders>
            <w:noWrap/>
            <w:hideMark/>
          </w:tcPr>
          <w:p w14:paraId="6C2639F4" w14:textId="77777777" w:rsidR="0024586E" w:rsidRPr="007420A9" w:rsidRDefault="0024586E" w:rsidP="009574F4">
            <w:pPr>
              <w:spacing w:after="0"/>
              <w:rPr>
                <w:rFonts w:eastAsia="Times New Roman" w:cs="Calibri"/>
                <w:color w:val="000000"/>
                <w:sz w:val="20"/>
                <w:szCs w:val="20"/>
                <w:lang w:eastAsia="cs-CZ"/>
              </w:rPr>
            </w:pPr>
            <w:r w:rsidRPr="007420A9">
              <w:rPr>
                <w:rFonts w:eastAsia="Times New Roman" w:cs="Calibri"/>
                <w:color w:val="000000"/>
                <w:sz w:val="20"/>
                <w:szCs w:val="20"/>
                <w:lang w:eastAsia="cs-CZ"/>
              </w:rPr>
              <w:t>1</w:t>
            </w:r>
          </w:p>
        </w:tc>
      </w:tr>
    </w:tbl>
    <w:p w14:paraId="369ED2A5" w14:textId="77777777" w:rsidR="0024586E" w:rsidRDefault="0024586E" w:rsidP="0024586E">
      <w:pPr>
        <w:pStyle w:val="Odstavecseseznamem"/>
        <w:jc w:val="both"/>
      </w:pPr>
    </w:p>
    <w:p w14:paraId="3CCF065C" w14:textId="77777777" w:rsidR="00400FE9" w:rsidRDefault="00400FE9">
      <w:pPr>
        <w:spacing w:line="276" w:lineRule="auto"/>
        <w:rPr>
          <w:rFonts w:eastAsiaTheme="majorEastAsia" w:cstheme="majorBidi"/>
          <w:b/>
          <w:color w:val="4C4C4C"/>
          <w:sz w:val="24"/>
          <w:szCs w:val="23"/>
        </w:rPr>
      </w:pPr>
      <w:r>
        <w:br w:type="page"/>
      </w:r>
    </w:p>
    <w:p w14:paraId="0603E67A" w14:textId="40274000" w:rsidR="0024586E" w:rsidRDefault="0024586E" w:rsidP="0024586E">
      <w:pPr>
        <w:pStyle w:val="Nadpis4"/>
        <w:rPr>
          <w:b w:val="0"/>
        </w:rPr>
      </w:pPr>
      <w:r>
        <w:lastRenderedPageBreak/>
        <w:t>Královéhradecký kraj</w:t>
      </w:r>
    </w:p>
    <w:p w14:paraId="5EAD8453" w14:textId="77777777" w:rsidR="0024586E" w:rsidRDefault="0024586E" w:rsidP="0024586E">
      <w:pPr>
        <w:jc w:val="both"/>
      </w:pPr>
      <w:r w:rsidRPr="00735093">
        <w:t>Královéhra</w:t>
      </w:r>
      <w:r>
        <w:t xml:space="preserve">decký kraj má nízký podíl malých základních škol a nízký podíl žáků vzdělávaných v malotřídních školách. Vysoký je podíl žáků se zdravotním znevýhodněním vzdělávaných v běžných třídách ZŠ a podíl žáků </w:t>
      </w:r>
      <w:r w:rsidRPr="00735093">
        <w:t>s přiznaným podpůrným opatřením s kódem NFN v</w:t>
      </w:r>
      <w:r>
        <w:t> </w:t>
      </w:r>
      <w:r w:rsidRPr="00735093">
        <w:t>ZŠ</w:t>
      </w:r>
      <w:r>
        <w:t xml:space="preserve">. Nízký je podíl absolventů oborů středních škol s výučním listem, kteří dále pokračují do nástavbového studia v denní formě vzdělávání. V nematuritních oborech SŠ je nízký podíl žáků opakujících ročník. Na středních školách </w:t>
      </w:r>
      <w:r w:rsidRPr="005577AC">
        <w:t>je vysoký počet počítačů v přepočtu na žáka. Vysokou</w:t>
      </w:r>
      <w:r>
        <w:t xml:space="preserve"> hodnotu měl index šikany u žáků 4. ročníku v šetření PIRLS. </w:t>
      </w:r>
      <w:r w:rsidRPr="001A7DB7">
        <w:t>Průměrný výsledek 15letých v</w:t>
      </w:r>
      <w:r>
        <w:t> </w:t>
      </w:r>
      <w:r w:rsidRPr="001A7DB7">
        <w:t>testech čtenářské gramotnosti PISA</w:t>
      </w:r>
      <w:r>
        <w:t xml:space="preserve"> byl nízký. </w:t>
      </w:r>
      <w:r w:rsidRPr="00F61BDA">
        <w:t xml:space="preserve">Podíl žáků 4. tříd ZŠ s excelentními výsledky v testech čtenářských dovedností </w:t>
      </w:r>
      <w:r>
        <w:t>šetření PIRLS byl vysoký, oproti tomu p</w:t>
      </w:r>
      <w:r w:rsidRPr="00F61BDA">
        <w:t>odíl žáků 4. tříd ZŠ s excelentními výsledky v testech matematických dovedností TIMSS</w:t>
      </w:r>
      <w:r>
        <w:t xml:space="preserve"> byl nízký.</w:t>
      </w:r>
    </w:p>
    <w:tbl>
      <w:tblPr>
        <w:tblW w:w="5000" w:type="pct"/>
        <w:tblCellMar>
          <w:left w:w="70" w:type="dxa"/>
          <w:right w:w="70" w:type="dxa"/>
        </w:tblCellMar>
        <w:tblLook w:val="04A0" w:firstRow="1" w:lastRow="0" w:firstColumn="1" w:lastColumn="0" w:noHBand="0" w:noVBand="1"/>
      </w:tblPr>
      <w:tblGrid>
        <w:gridCol w:w="6798"/>
        <w:gridCol w:w="1842"/>
        <w:gridCol w:w="3495"/>
        <w:gridCol w:w="1459"/>
        <w:gridCol w:w="682"/>
      </w:tblGrid>
      <w:tr w:rsidR="0024586E" w:rsidRPr="00C95D79" w14:paraId="78D231A1" w14:textId="77777777" w:rsidTr="009A58B0">
        <w:trPr>
          <w:trHeight w:val="290"/>
          <w:tblHeader/>
        </w:trPr>
        <w:tc>
          <w:tcPr>
            <w:tcW w:w="2381" w:type="pct"/>
            <w:tcBorders>
              <w:top w:val="single" w:sz="4" w:space="0" w:color="8ED973"/>
              <w:left w:val="single" w:sz="4" w:space="0" w:color="4EA72E"/>
              <w:bottom w:val="nil"/>
              <w:right w:val="nil"/>
            </w:tcBorders>
            <w:shd w:val="clear" w:color="4EA72E" w:fill="4EA72E"/>
            <w:vAlign w:val="bottom"/>
            <w:hideMark/>
          </w:tcPr>
          <w:p w14:paraId="41BA5239" w14:textId="77777777" w:rsidR="0024586E" w:rsidRPr="00C95D79" w:rsidRDefault="0024586E" w:rsidP="009574F4">
            <w:pPr>
              <w:spacing w:after="0"/>
              <w:rPr>
                <w:rFonts w:eastAsia="Times New Roman" w:cs="Calibri"/>
                <w:b/>
                <w:bCs/>
                <w:color w:val="FFFFFF"/>
                <w:sz w:val="20"/>
                <w:szCs w:val="20"/>
                <w:lang w:eastAsia="cs-CZ"/>
              </w:rPr>
            </w:pPr>
            <w:r w:rsidRPr="00C95D79">
              <w:rPr>
                <w:rFonts w:eastAsia="Times New Roman" w:cs="Calibri"/>
                <w:b/>
                <w:bCs/>
                <w:color w:val="FFFFFF"/>
                <w:sz w:val="20"/>
                <w:szCs w:val="20"/>
                <w:lang w:eastAsia="cs-CZ"/>
              </w:rPr>
              <w:t>Název údaje</w:t>
            </w:r>
          </w:p>
        </w:tc>
        <w:tc>
          <w:tcPr>
            <w:tcW w:w="645" w:type="pct"/>
            <w:tcBorders>
              <w:top w:val="single" w:sz="4" w:space="0" w:color="8ED973"/>
              <w:left w:val="nil"/>
              <w:bottom w:val="nil"/>
              <w:right w:val="nil"/>
            </w:tcBorders>
            <w:shd w:val="clear" w:color="4EA72E" w:fill="4EA72E"/>
            <w:noWrap/>
            <w:vAlign w:val="bottom"/>
            <w:hideMark/>
          </w:tcPr>
          <w:p w14:paraId="23F12808" w14:textId="77777777" w:rsidR="0024586E" w:rsidRPr="00C95D79" w:rsidRDefault="0024586E" w:rsidP="009574F4">
            <w:pPr>
              <w:spacing w:after="0"/>
              <w:rPr>
                <w:rFonts w:eastAsia="Times New Roman" w:cs="Calibri"/>
                <w:b/>
                <w:bCs/>
                <w:color w:val="FFFFFF"/>
                <w:sz w:val="20"/>
                <w:szCs w:val="20"/>
                <w:lang w:eastAsia="cs-CZ"/>
              </w:rPr>
            </w:pPr>
            <w:r w:rsidRPr="00C95D79">
              <w:rPr>
                <w:rFonts w:eastAsia="Times New Roman" w:cs="Calibri"/>
                <w:b/>
                <w:bCs/>
                <w:color w:val="FFFFFF"/>
                <w:sz w:val="20"/>
                <w:szCs w:val="20"/>
                <w:lang w:eastAsia="cs-CZ"/>
              </w:rPr>
              <w:t>Oblast</w:t>
            </w:r>
          </w:p>
        </w:tc>
        <w:tc>
          <w:tcPr>
            <w:tcW w:w="1224" w:type="pct"/>
            <w:tcBorders>
              <w:top w:val="single" w:sz="4" w:space="0" w:color="8ED973"/>
              <w:left w:val="nil"/>
              <w:bottom w:val="nil"/>
              <w:right w:val="nil"/>
            </w:tcBorders>
            <w:shd w:val="clear" w:color="4EA72E" w:fill="4EA72E"/>
            <w:noWrap/>
            <w:vAlign w:val="bottom"/>
            <w:hideMark/>
          </w:tcPr>
          <w:p w14:paraId="75996DC8" w14:textId="77777777" w:rsidR="0024586E" w:rsidRPr="00C95D79" w:rsidRDefault="0024586E" w:rsidP="009574F4">
            <w:pPr>
              <w:spacing w:after="0"/>
              <w:rPr>
                <w:rFonts w:eastAsia="Times New Roman" w:cs="Calibri"/>
                <w:b/>
                <w:bCs/>
                <w:color w:val="FFFFFF"/>
                <w:sz w:val="20"/>
                <w:szCs w:val="20"/>
                <w:lang w:eastAsia="cs-CZ"/>
              </w:rPr>
            </w:pPr>
            <w:r w:rsidRPr="00C95D79">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1A157850" w14:textId="77777777" w:rsidR="0024586E" w:rsidRPr="00C95D79" w:rsidRDefault="0024586E" w:rsidP="009574F4">
            <w:pPr>
              <w:spacing w:after="0"/>
              <w:rPr>
                <w:rFonts w:eastAsia="Times New Roman" w:cs="Calibri"/>
                <w:b/>
                <w:bCs/>
                <w:color w:val="FFFFFF"/>
                <w:sz w:val="20"/>
                <w:szCs w:val="20"/>
                <w:lang w:eastAsia="cs-CZ"/>
              </w:rPr>
            </w:pPr>
            <w:r w:rsidRPr="00C95D79">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44B542D8" w14:textId="77777777" w:rsidR="0024586E" w:rsidRPr="00C95D79" w:rsidRDefault="0024586E" w:rsidP="009574F4">
            <w:pPr>
              <w:spacing w:after="0"/>
              <w:rPr>
                <w:rFonts w:eastAsia="Times New Roman" w:cs="Calibri"/>
                <w:b/>
                <w:bCs/>
                <w:color w:val="FFFFFF"/>
                <w:sz w:val="20"/>
                <w:szCs w:val="20"/>
                <w:lang w:eastAsia="cs-CZ"/>
              </w:rPr>
            </w:pPr>
            <w:r w:rsidRPr="00C95D79">
              <w:rPr>
                <w:rFonts w:eastAsia="Times New Roman" w:cs="Calibri"/>
                <w:b/>
                <w:bCs/>
                <w:color w:val="FFFFFF"/>
                <w:sz w:val="20"/>
                <w:szCs w:val="20"/>
                <w:lang w:eastAsia="cs-CZ"/>
              </w:rPr>
              <w:t>Pořadí</w:t>
            </w:r>
          </w:p>
        </w:tc>
      </w:tr>
      <w:tr w:rsidR="0024586E" w:rsidRPr="00C95D79" w14:paraId="0B2E17D0" w14:textId="77777777" w:rsidTr="009A58B0">
        <w:trPr>
          <w:trHeight w:val="290"/>
        </w:trPr>
        <w:tc>
          <w:tcPr>
            <w:tcW w:w="2381" w:type="pct"/>
            <w:tcBorders>
              <w:top w:val="single" w:sz="4" w:space="0" w:color="8ED973"/>
              <w:left w:val="single" w:sz="4" w:space="0" w:color="4EA72E"/>
              <w:bottom w:val="nil"/>
              <w:right w:val="nil"/>
            </w:tcBorders>
            <w:hideMark/>
          </w:tcPr>
          <w:p w14:paraId="32C6F389"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Podíl žáků vzdělávajících se v malotřídních ZŠ</w:t>
            </w:r>
          </w:p>
        </w:tc>
        <w:tc>
          <w:tcPr>
            <w:tcW w:w="645" w:type="pct"/>
            <w:tcBorders>
              <w:top w:val="single" w:sz="4" w:space="0" w:color="8ED973"/>
              <w:left w:val="nil"/>
              <w:bottom w:val="nil"/>
              <w:right w:val="nil"/>
            </w:tcBorders>
            <w:noWrap/>
            <w:hideMark/>
          </w:tcPr>
          <w:p w14:paraId="1579A6F7"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7706FD30"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622C01C3"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D4C8243"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2</w:t>
            </w:r>
          </w:p>
        </w:tc>
      </w:tr>
      <w:tr w:rsidR="0024586E" w:rsidRPr="00C95D79" w14:paraId="724C8A0A" w14:textId="77777777" w:rsidTr="009A58B0">
        <w:trPr>
          <w:trHeight w:val="290"/>
        </w:trPr>
        <w:tc>
          <w:tcPr>
            <w:tcW w:w="2381" w:type="pct"/>
            <w:tcBorders>
              <w:top w:val="single" w:sz="4" w:space="0" w:color="8ED973"/>
              <w:left w:val="single" w:sz="4" w:space="0" w:color="4EA72E"/>
              <w:bottom w:val="nil"/>
              <w:right w:val="nil"/>
            </w:tcBorders>
            <w:hideMark/>
          </w:tcPr>
          <w:p w14:paraId="02544761"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Podíl veřejných základních škol do 50 žáků včetně</w:t>
            </w:r>
          </w:p>
        </w:tc>
        <w:tc>
          <w:tcPr>
            <w:tcW w:w="645" w:type="pct"/>
            <w:tcBorders>
              <w:top w:val="single" w:sz="4" w:space="0" w:color="8ED973"/>
              <w:left w:val="nil"/>
              <w:bottom w:val="nil"/>
              <w:right w:val="nil"/>
            </w:tcBorders>
            <w:noWrap/>
            <w:hideMark/>
          </w:tcPr>
          <w:p w14:paraId="76430C48"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053B2145"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487808E4"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FF9EED7"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2</w:t>
            </w:r>
          </w:p>
        </w:tc>
      </w:tr>
      <w:tr w:rsidR="0024586E" w:rsidRPr="00C95D79" w14:paraId="034DF239" w14:textId="77777777" w:rsidTr="009A58B0">
        <w:trPr>
          <w:trHeight w:val="520"/>
        </w:trPr>
        <w:tc>
          <w:tcPr>
            <w:tcW w:w="2381" w:type="pct"/>
            <w:tcBorders>
              <w:top w:val="single" w:sz="4" w:space="0" w:color="8ED973"/>
              <w:left w:val="single" w:sz="4" w:space="0" w:color="4EA72E"/>
              <w:bottom w:val="nil"/>
              <w:right w:val="nil"/>
            </w:tcBorders>
            <w:hideMark/>
          </w:tcPr>
          <w:p w14:paraId="7D589CF6"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Podíl čerstvých absolventů s výučním listem, kteří pokračují do nástavbového studia v denní formě studia</w:t>
            </w:r>
          </w:p>
        </w:tc>
        <w:tc>
          <w:tcPr>
            <w:tcW w:w="645" w:type="pct"/>
            <w:tcBorders>
              <w:top w:val="single" w:sz="4" w:space="0" w:color="8ED973"/>
              <w:left w:val="nil"/>
              <w:bottom w:val="nil"/>
              <w:right w:val="nil"/>
            </w:tcBorders>
            <w:noWrap/>
            <w:hideMark/>
          </w:tcPr>
          <w:p w14:paraId="4B8A88F8"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1CB578D3"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78E8EB40"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A95E3B9"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13</w:t>
            </w:r>
          </w:p>
        </w:tc>
      </w:tr>
      <w:tr w:rsidR="0024586E" w:rsidRPr="00C95D79" w14:paraId="3F95408D" w14:textId="77777777" w:rsidTr="009A58B0">
        <w:trPr>
          <w:trHeight w:val="520"/>
        </w:trPr>
        <w:tc>
          <w:tcPr>
            <w:tcW w:w="2381" w:type="pct"/>
            <w:tcBorders>
              <w:top w:val="single" w:sz="4" w:space="0" w:color="8ED973"/>
              <w:left w:val="single" w:sz="4" w:space="0" w:color="4EA72E"/>
              <w:bottom w:val="nil"/>
              <w:right w:val="nil"/>
            </w:tcBorders>
            <w:hideMark/>
          </w:tcPr>
          <w:p w14:paraId="60522928"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Podíl žáků se zdravotním znevýhodněním vzdělávajících se v běžných třídách ZŠ</w:t>
            </w:r>
          </w:p>
        </w:tc>
        <w:tc>
          <w:tcPr>
            <w:tcW w:w="645" w:type="pct"/>
            <w:tcBorders>
              <w:top w:val="single" w:sz="4" w:space="0" w:color="8ED973"/>
              <w:left w:val="nil"/>
              <w:bottom w:val="nil"/>
              <w:right w:val="nil"/>
            </w:tcBorders>
            <w:noWrap/>
            <w:hideMark/>
          </w:tcPr>
          <w:p w14:paraId="4B01C311"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1DA5445C"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683C4773"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B8DF24C"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2</w:t>
            </w:r>
          </w:p>
        </w:tc>
      </w:tr>
      <w:tr w:rsidR="0024586E" w:rsidRPr="00C95D79" w14:paraId="55244C08" w14:textId="77777777" w:rsidTr="009A58B0">
        <w:trPr>
          <w:trHeight w:val="290"/>
        </w:trPr>
        <w:tc>
          <w:tcPr>
            <w:tcW w:w="2381" w:type="pct"/>
            <w:tcBorders>
              <w:top w:val="single" w:sz="4" w:space="0" w:color="8ED973"/>
              <w:left w:val="single" w:sz="4" w:space="0" w:color="4EA72E"/>
              <w:bottom w:val="nil"/>
              <w:right w:val="nil"/>
            </w:tcBorders>
            <w:hideMark/>
          </w:tcPr>
          <w:p w14:paraId="5BDA2D46"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 xml:space="preserve">Podíl žáků </w:t>
            </w:r>
            <w:bookmarkStart w:id="23" w:name="_Hlk210381620"/>
            <w:r w:rsidRPr="00C95D79">
              <w:rPr>
                <w:rFonts w:eastAsia="Times New Roman" w:cs="Calibri"/>
                <w:color w:val="000000"/>
                <w:sz w:val="20"/>
                <w:szCs w:val="20"/>
                <w:lang w:eastAsia="cs-CZ"/>
              </w:rPr>
              <w:t>s přiznaným podpůrným opatřením s kódem NFN v ZŠ</w:t>
            </w:r>
            <w:bookmarkEnd w:id="23"/>
          </w:p>
        </w:tc>
        <w:tc>
          <w:tcPr>
            <w:tcW w:w="645" w:type="pct"/>
            <w:tcBorders>
              <w:top w:val="single" w:sz="4" w:space="0" w:color="8ED973"/>
              <w:left w:val="nil"/>
              <w:bottom w:val="nil"/>
              <w:right w:val="nil"/>
            </w:tcBorders>
            <w:noWrap/>
            <w:hideMark/>
          </w:tcPr>
          <w:p w14:paraId="5C07BE47"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01BA08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2EEB3D9B"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1A72AD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2</w:t>
            </w:r>
          </w:p>
        </w:tc>
      </w:tr>
      <w:tr w:rsidR="0024586E" w:rsidRPr="00C95D79" w14:paraId="06961A4A" w14:textId="77777777" w:rsidTr="009A58B0">
        <w:trPr>
          <w:trHeight w:val="290"/>
        </w:trPr>
        <w:tc>
          <w:tcPr>
            <w:tcW w:w="2381" w:type="pct"/>
            <w:tcBorders>
              <w:top w:val="single" w:sz="4" w:space="0" w:color="8ED973"/>
              <w:left w:val="single" w:sz="4" w:space="0" w:color="4EA72E"/>
              <w:bottom w:val="nil"/>
              <w:right w:val="nil"/>
            </w:tcBorders>
            <w:hideMark/>
          </w:tcPr>
          <w:p w14:paraId="6C85B063"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Průměrný výsledek 15letých v testech čtenářské gramotnosti (PISA)</w:t>
            </w:r>
          </w:p>
        </w:tc>
        <w:tc>
          <w:tcPr>
            <w:tcW w:w="645" w:type="pct"/>
            <w:tcBorders>
              <w:top w:val="single" w:sz="4" w:space="0" w:color="8ED973"/>
              <w:left w:val="nil"/>
              <w:bottom w:val="nil"/>
              <w:right w:val="nil"/>
            </w:tcBorders>
            <w:noWrap/>
            <w:hideMark/>
          </w:tcPr>
          <w:p w14:paraId="5FCCABD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49EA3EB0"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3A73B403"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3CDBB46"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13</w:t>
            </w:r>
          </w:p>
        </w:tc>
      </w:tr>
      <w:tr w:rsidR="0024586E" w:rsidRPr="00C95D79" w14:paraId="2EDC5A52" w14:textId="77777777" w:rsidTr="009A58B0">
        <w:trPr>
          <w:trHeight w:val="290"/>
        </w:trPr>
        <w:tc>
          <w:tcPr>
            <w:tcW w:w="2381" w:type="pct"/>
            <w:tcBorders>
              <w:top w:val="single" w:sz="4" w:space="0" w:color="8ED973"/>
              <w:left w:val="single" w:sz="4" w:space="0" w:color="4EA72E"/>
              <w:bottom w:val="nil"/>
              <w:right w:val="nil"/>
            </w:tcBorders>
            <w:hideMark/>
          </w:tcPr>
          <w:p w14:paraId="477B42A7"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Podíl žáků opakujících ročník v SŠ v nematuritních oborech</w:t>
            </w:r>
          </w:p>
        </w:tc>
        <w:tc>
          <w:tcPr>
            <w:tcW w:w="645" w:type="pct"/>
            <w:tcBorders>
              <w:top w:val="single" w:sz="4" w:space="0" w:color="8ED973"/>
              <w:left w:val="nil"/>
              <w:bottom w:val="nil"/>
              <w:right w:val="nil"/>
            </w:tcBorders>
            <w:noWrap/>
            <w:hideMark/>
          </w:tcPr>
          <w:p w14:paraId="5EB8DC3B"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74E59BEC"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279B9A6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78044C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13</w:t>
            </w:r>
          </w:p>
        </w:tc>
      </w:tr>
      <w:tr w:rsidR="0024586E" w:rsidRPr="00C95D79" w14:paraId="5EB10F0A" w14:textId="77777777" w:rsidTr="009A58B0">
        <w:trPr>
          <w:trHeight w:val="290"/>
        </w:trPr>
        <w:tc>
          <w:tcPr>
            <w:tcW w:w="2381" w:type="pct"/>
            <w:tcBorders>
              <w:top w:val="single" w:sz="4" w:space="0" w:color="8ED973"/>
              <w:left w:val="single" w:sz="4" w:space="0" w:color="4EA72E"/>
              <w:bottom w:val="nil"/>
              <w:right w:val="nil"/>
            </w:tcBorders>
            <w:hideMark/>
          </w:tcPr>
          <w:p w14:paraId="5681BA34"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Počet počítačů (přístupných žákům) na 100 žáků SŠ</w:t>
            </w:r>
          </w:p>
        </w:tc>
        <w:tc>
          <w:tcPr>
            <w:tcW w:w="645" w:type="pct"/>
            <w:tcBorders>
              <w:top w:val="single" w:sz="4" w:space="0" w:color="8ED973"/>
              <w:left w:val="nil"/>
              <w:bottom w:val="nil"/>
              <w:right w:val="nil"/>
            </w:tcBorders>
            <w:noWrap/>
            <w:hideMark/>
          </w:tcPr>
          <w:p w14:paraId="49D1427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Výuka</w:t>
            </w:r>
          </w:p>
        </w:tc>
        <w:tc>
          <w:tcPr>
            <w:tcW w:w="1224" w:type="pct"/>
            <w:tcBorders>
              <w:top w:val="single" w:sz="4" w:space="0" w:color="8ED973"/>
              <w:left w:val="nil"/>
              <w:bottom w:val="nil"/>
              <w:right w:val="nil"/>
            </w:tcBorders>
            <w:noWrap/>
            <w:hideMark/>
          </w:tcPr>
          <w:p w14:paraId="7BF0C14C"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ICT</w:t>
            </w:r>
          </w:p>
        </w:tc>
        <w:tc>
          <w:tcPr>
            <w:tcW w:w="511" w:type="pct"/>
            <w:tcBorders>
              <w:top w:val="single" w:sz="4" w:space="0" w:color="8ED973"/>
              <w:left w:val="nil"/>
              <w:bottom w:val="nil"/>
              <w:right w:val="nil"/>
            </w:tcBorders>
            <w:noWrap/>
            <w:hideMark/>
          </w:tcPr>
          <w:p w14:paraId="5E348588"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FF3953D"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1</w:t>
            </w:r>
          </w:p>
        </w:tc>
      </w:tr>
      <w:tr w:rsidR="0024586E" w:rsidRPr="00C95D79" w14:paraId="070B2E5A" w14:textId="77777777" w:rsidTr="009A58B0">
        <w:trPr>
          <w:trHeight w:val="290"/>
        </w:trPr>
        <w:tc>
          <w:tcPr>
            <w:tcW w:w="2381" w:type="pct"/>
            <w:tcBorders>
              <w:top w:val="single" w:sz="4" w:space="0" w:color="8ED973"/>
              <w:left w:val="single" w:sz="4" w:space="0" w:color="4EA72E"/>
              <w:bottom w:val="nil"/>
              <w:right w:val="nil"/>
            </w:tcBorders>
            <w:hideMark/>
          </w:tcPr>
          <w:p w14:paraId="499AD038"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Index šikany (PIRLS) - žáci 4. ročníků ZŠ</w:t>
            </w:r>
          </w:p>
        </w:tc>
        <w:tc>
          <w:tcPr>
            <w:tcW w:w="645" w:type="pct"/>
            <w:tcBorders>
              <w:top w:val="single" w:sz="4" w:space="0" w:color="8ED973"/>
              <w:left w:val="nil"/>
              <w:bottom w:val="nil"/>
              <w:right w:val="nil"/>
            </w:tcBorders>
            <w:noWrap/>
            <w:hideMark/>
          </w:tcPr>
          <w:p w14:paraId="5332C929"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5E5C1B69"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0E946C1B"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F03FCEE"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1</w:t>
            </w:r>
          </w:p>
        </w:tc>
      </w:tr>
      <w:tr w:rsidR="0024586E" w:rsidRPr="00C95D79" w14:paraId="66EE9797" w14:textId="77777777" w:rsidTr="009A58B0">
        <w:trPr>
          <w:trHeight w:val="520"/>
        </w:trPr>
        <w:tc>
          <w:tcPr>
            <w:tcW w:w="2381" w:type="pct"/>
            <w:tcBorders>
              <w:top w:val="single" w:sz="4" w:space="0" w:color="8ED973"/>
              <w:left w:val="single" w:sz="4" w:space="0" w:color="4EA72E"/>
              <w:bottom w:val="nil"/>
              <w:right w:val="nil"/>
            </w:tcBorders>
            <w:hideMark/>
          </w:tcPr>
          <w:p w14:paraId="52FDD7C9" w14:textId="77777777" w:rsidR="0024586E" w:rsidRPr="00C95D79" w:rsidRDefault="0024586E" w:rsidP="009574F4">
            <w:pPr>
              <w:spacing w:after="0"/>
              <w:rPr>
                <w:rFonts w:eastAsia="Times New Roman" w:cs="Calibri"/>
                <w:color w:val="000000"/>
                <w:sz w:val="20"/>
                <w:szCs w:val="20"/>
                <w:lang w:eastAsia="cs-CZ"/>
              </w:rPr>
            </w:pPr>
            <w:bookmarkStart w:id="24" w:name="_Hlk210383414"/>
            <w:r w:rsidRPr="00C95D79">
              <w:rPr>
                <w:rFonts w:eastAsia="Times New Roman" w:cs="Calibri"/>
                <w:color w:val="000000"/>
                <w:sz w:val="20"/>
                <w:szCs w:val="20"/>
                <w:lang w:eastAsia="cs-CZ"/>
              </w:rPr>
              <w:t xml:space="preserve">Podíl žáků 4. tříd ZŠ s excelentními výsledky v testech čtenářských dovedností </w:t>
            </w:r>
            <w:bookmarkEnd w:id="24"/>
            <w:r w:rsidRPr="00C95D79">
              <w:rPr>
                <w:rFonts w:eastAsia="Times New Roman" w:cs="Calibri"/>
                <w:color w:val="000000"/>
                <w:sz w:val="20"/>
                <w:szCs w:val="20"/>
                <w:lang w:eastAsia="cs-CZ"/>
              </w:rPr>
              <w:t>(PIRLS)</w:t>
            </w:r>
          </w:p>
        </w:tc>
        <w:tc>
          <w:tcPr>
            <w:tcW w:w="645" w:type="pct"/>
            <w:tcBorders>
              <w:top w:val="single" w:sz="4" w:space="0" w:color="8ED973"/>
              <w:left w:val="nil"/>
              <w:bottom w:val="nil"/>
              <w:right w:val="nil"/>
            </w:tcBorders>
            <w:noWrap/>
            <w:hideMark/>
          </w:tcPr>
          <w:p w14:paraId="6F4C107C"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5421566A"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1DFCF39B"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C1A45A6"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2</w:t>
            </w:r>
          </w:p>
        </w:tc>
      </w:tr>
      <w:tr w:rsidR="0024586E" w:rsidRPr="00C95D79" w14:paraId="7CA78497" w14:textId="77777777" w:rsidTr="009A58B0">
        <w:trPr>
          <w:trHeight w:val="520"/>
        </w:trPr>
        <w:tc>
          <w:tcPr>
            <w:tcW w:w="2381" w:type="pct"/>
            <w:tcBorders>
              <w:top w:val="single" w:sz="4" w:space="0" w:color="8ED973"/>
              <w:left w:val="single" w:sz="4" w:space="0" w:color="4EA72E"/>
              <w:bottom w:val="single" w:sz="4" w:space="0" w:color="4EA72E"/>
              <w:right w:val="nil"/>
            </w:tcBorders>
            <w:hideMark/>
          </w:tcPr>
          <w:p w14:paraId="6A3A7516"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Podíl žáků 4. tříd ZŠ s excelentními výsledky v testech matematických dovedností (TIMSS)</w:t>
            </w:r>
          </w:p>
        </w:tc>
        <w:tc>
          <w:tcPr>
            <w:tcW w:w="645" w:type="pct"/>
            <w:tcBorders>
              <w:top w:val="single" w:sz="4" w:space="0" w:color="8ED973"/>
              <w:left w:val="nil"/>
              <w:bottom w:val="single" w:sz="4" w:space="0" w:color="4EA72E"/>
              <w:right w:val="nil"/>
            </w:tcBorders>
            <w:noWrap/>
            <w:hideMark/>
          </w:tcPr>
          <w:p w14:paraId="5FAAC926"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Nerovnosti</w:t>
            </w:r>
          </w:p>
        </w:tc>
        <w:tc>
          <w:tcPr>
            <w:tcW w:w="1224" w:type="pct"/>
            <w:tcBorders>
              <w:top w:val="single" w:sz="4" w:space="0" w:color="8ED973"/>
              <w:left w:val="nil"/>
              <w:bottom w:val="single" w:sz="4" w:space="0" w:color="4EA72E"/>
              <w:right w:val="nil"/>
            </w:tcBorders>
            <w:noWrap/>
            <w:hideMark/>
          </w:tcPr>
          <w:p w14:paraId="35F38FD2"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Žáci v dovednostních úrovních</w:t>
            </w:r>
          </w:p>
        </w:tc>
        <w:tc>
          <w:tcPr>
            <w:tcW w:w="511" w:type="pct"/>
            <w:tcBorders>
              <w:top w:val="single" w:sz="4" w:space="0" w:color="8ED973"/>
              <w:left w:val="nil"/>
              <w:bottom w:val="single" w:sz="4" w:space="0" w:color="4EA72E"/>
              <w:right w:val="nil"/>
            </w:tcBorders>
            <w:noWrap/>
            <w:hideMark/>
          </w:tcPr>
          <w:p w14:paraId="5BE13D09"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ZŠ</w:t>
            </w:r>
          </w:p>
        </w:tc>
        <w:tc>
          <w:tcPr>
            <w:tcW w:w="239" w:type="pct"/>
            <w:tcBorders>
              <w:top w:val="single" w:sz="4" w:space="0" w:color="8ED973"/>
              <w:left w:val="nil"/>
              <w:bottom w:val="single" w:sz="4" w:space="0" w:color="4EA72E"/>
              <w:right w:val="single" w:sz="4" w:space="0" w:color="4EA72E"/>
            </w:tcBorders>
            <w:noWrap/>
            <w:hideMark/>
          </w:tcPr>
          <w:p w14:paraId="6AEF62A0" w14:textId="77777777" w:rsidR="0024586E" w:rsidRPr="00C95D79" w:rsidRDefault="0024586E" w:rsidP="009574F4">
            <w:pPr>
              <w:spacing w:after="0"/>
              <w:rPr>
                <w:rFonts w:eastAsia="Times New Roman" w:cs="Calibri"/>
                <w:color w:val="000000"/>
                <w:sz w:val="20"/>
                <w:szCs w:val="20"/>
                <w:lang w:eastAsia="cs-CZ"/>
              </w:rPr>
            </w:pPr>
            <w:r w:rsidRPr="00C95D79">
              <w:rPr>
                <w:rFonts w:eastAsia="Times New Roman" w:cs="Calibri"/>
                <w:color w:val="000000"/>
                <w:sz w:val="20"/>
                <w:szCs w:val="20"/>
                <w:lang w:eastAsia="cs-CZ"/>
              </w:rPr>
              <w:t>13</w:t>
            </w:r>
          </w:p>
        </w:tc>
      </w:tr>
    </w:tbl>
    <w:p w14:paraId="4196876C" w14:textId="77777777" w:rsidR="0024586E" w:rsidRDefault="0024586E" w:rsidP="0024586E">
      <w:pPr>
        <w:pStyle w:val="Odstavecseseznamem"/>
        <w:jc w:val="both"/>
      </w:pPr>
    </w:p>
    <w:p w14:paraId="46D609BC" w14:textId="77777777" w:rsidR="0024586E" w:rsidRDefault="0024586E" w:rsidP="0024586E">
      <w:pPr>
        <w:pStyle w:val="Odstavecseseznamem"/>
        <w:jc w:val="both"/>
      </w:pPr>
    </w:p>
    <w:p w14:paraId="7569061B" w14:textId="77777777" w:rsidR="00400FE9" w:rsidRDefault="00400FE9">
      <w:pPr>
        <w:spacing w:line="276" w:lineRule="auto"/>
        <w:rPr>
          <w:rFonts w:eastAsiaTheme="majorEastAsia" w:cstheme="majorBidi"/>
          <w:b/>
          <w:color w:val="4C4C4C"/>
          <w:sz w:val="24"/>
          <w:szCs w:val="23"/>
        </w:rPr>
      </w:pPr>
      <w:r>
        <w:br w:type="page"/>
      </w:r>
    </w:p>
    <w:p w14:paraId="1C40406C" w14:textId="6D33C066" w:rsidR="0024586E" w:rsidRDefault="0024586E" w:rsidP="0024586E">
      <w:pPr>
        <w:pStyle w:val="Nadpis4"/>
        <w:rPr>
          <w:b w:val="0"/>
        </w:rPr>
      </w:pPr>
      <w:r>
        <w:lastRenderedPageBreak/>
        <w:t>Pardubický kraj</w:t>
      </w:r>
    </w:p>
    <w:p w14:paraId="67F441E1" w14:textId="77777777" w:rsidR="0024586E" w:rsidRDefault="0024586E" w:rsidP="0024586E">
      <w:pPr>
        <w:spacing w:line="276" w:lineRule="auto"/>
        <w:jc w:val="both"/>
      </w:pPr>
      <w:r>
        <w:t>V kraji je relativně příznivý poměr platů učitelů MŠ a ZŠ a asistentů pedagoga k průměrné mzdě. Počet úvazků speciálních pedagogů v přepočtu na počet dětí a žáků je nízký. Nízký je podíl dětí, které se vzdělávají v neveřejných MŠ. Vysoký podíl základních škol má zcela zaplněnou kapacitu školní družiny. V kraji je vysoký podíl dětí, které plní povinné předškolní vzdělávání a nízký podíl dětí, které nastupují do základního vzdělávání s odkladem povinné školní docházky. Podíl dětí ve speciálních třídách MŠ je nízký. Nízký je p</w:t>
      </w:r>
      <w:r w:rsidRPr="00D264C5">
        <w:t>odíl absolventů ZŠ, kteří v daném roce nepokračují na SŠ nebo konzervatoř</w:t>
      </w:r>
      <w:r>
        <w:t>. Vysoký je podíl žáků opakujících ročník v nástavbovém studiu SŠ. V oblasti well-beingu jsou výsledky málo konzistentní, index šikany u žáků 8. ročníku v šetření TIMSS byl nízký, u žáků 4. ročníku v šetření PIRLS vyšel index šikany vysoký. Pocit sounáležitosti se školou u žáků 8. ročníku byl v šetření TIMSS vysoký, u žáků 4. ročníku nízký.</w:t>
      </w:r>
    </w:p>
    <w:tbl>
      <w:tblPr>
        <w:tblW w:w="5000" w:type="pct"/>
        <w:tblCellMar>
          <w:left w:w="70" w:type="dxa"/>
          <w:right w:w="70" w:type="dxa"/>
        </w:tblCellMar>
        <w:tblLook w:val="04A0" w:firstRow="1" w:lastRow="0" w:firstColumn="1" w:lastColumn="0" w:noHBand="0" w:noVBand="1"/>
      </w:tblPr>
      <w:tblGrid>
        <w:gridCol w:w="6790"/>
        <w:gridCol w:w="1853"/>
        <w:gridCol w:w="3493"/>
        <w:gridCol w:w="1459"/>
        <w:gridCol w:w="681"/>
      </w:tblGrid>
      <w:tr w:rsidR="0024586E" w:rsidRPr="009D3191" w14:paraId="41248C46" w14:textId="77777777" w:rsidTr="009A58B0">
        <w:trPr>
          <w:trHeight w:val="290"/>
          <w:tblHeader/>
        </w:trPr>
        <w:tc>
          <w:tcPr>
            <w:tcW w:w="2379" w:type="pct"/>
            <w:tcBorders>
              <w:top w:val="single" w:sz="4" w:space="0" w:color="8ED973"/>
              <w:left w:val="single" w:sz="4" w:space="0" w:color="4EA72E"/>
              <w:bottom w:val="nil"/>
              <w:right w:val="nil"/>
            </w:tcBorders>
            <w:shd w:val="clear" w:color="4EA72E" w:fill="4EA72E"/>
            <w:vAlign w:val="bottom"/>
            <w:hideMark/>
          </w:tcPr>
          <w:p w14:paraId="20903BFE" w14:textId="77777777" w:rsidR="0024586E" w:rsidRPr="009D3191" w:rsidRDefault="0024586E" w:rsidP="009574F4">
            <w:pPr>
              <w:spacing w:after="0"/>
              <w:rPr>
                <w:rFonts w:eastAsia="Times New Roman" w:cs="Calibri"/>
                <w:b/>
                <w:bCs/>
                <w:color w:val="FFFFFF"/>
                <w:sz w:val="20"/>
                <w:szCs w:val="20"/>
                <w:lang w:eastAsia="cs-CZ"/>
              </w:rPr>
            </w:pPr>
            <w:r w:rsidRPr="009D3191">
              <w:rPr>
                <w:rFonts w:eastAsia="Times New Roman" w:cs="Calibri"/>
                <w:b/>
                <w:bCs/>
                <w:color w:val="FFFFFF"/>
                <w:sz w:val="20"/>
                <w:szCs w:val="20"/>
                <w:lang w:eastAsia="cs-CZ"/>
              </w:rPr>
              <w:t>Název údaje</w:t>
            </w:r>
          </w:p>
        </w:tc>
        <w:tc>
          <w:tcPr>
            <w:tcW w:w="648" w:type="pct"/>
            <w:tcBorders>
              <w:top w:val="single" w:sz="4" w:space="0" w:color="8ED973"/>
              <w:left w:val="nil"/>
              <w:bottom w:val="nil"/>
              <w:right w:val="nil"/>
            </w:tcBorders>
            <w:shd w:val="clear" w:color="4EA72E" w:fill="4EA72E"/>
            <w:noWrap/>
            <w:vAlign w:val="bottom"/>
            <w:hideMark/>
          </w:tcPr>
          <w:p w14:paraId="585A3E49" w14:textId="77777777" w:rsidR="0024586E" w:rsidRPr="009D3191" w:rsidRDefault="0024586E" w:rsidP="009574F4">
            <w:pPr>
              <w:spacing w:after="0"/>
              <w:rPr>
                <w:rFonts w:eastAsia="Times New Roman" w:cs="Calibri"/>
                <w:b/>
                <w:bCs/>
                <w:color w:val="FFFFFF"/>
                <w:sz w:val="20"/>
                <w:szCs w:val="20"/>
                <w:lang w:eastAsia="cs-CZ"/>
              </w:rPr>
            </w:pPr>
            <w:r w:rsidRPr="009D3191">
              <w:rPr>
                <w:rFonts w:eastAsia="Times New Roman" w:cs="Calibri"/>
                <w:b/>
                <w:bCs/>
                <w:color w:val="FFFFFF"/>
                <w:sz w:val="20"/>
                <w:szCs w:val="20"/>
                <w:lang w:eastAsia="cs-CZ"/>
              </w:rPr>
              <w:t>Oblast</w:t>
            </w:r>
          </w:p>
        </w:tc>
        <w:tc>
          <w:tcPr>
            <w:tcW w:w="1224" w:type="pct"/>
            <w:tcBorders>
              <w:top w:val="single" w:sz="4" w:space="0" w:color="8ED973"/>
              <w:left w:val="nil"/>
              <w:bottom w:val="nil"/>
              <w:right w:val="nil"/>
            </w:tcBorders>
            <w:shd w:val="clear" w:color="4EA72E" w:fill="4EA72E"/>
            <w:noWrap/>
            <w:vAlign w:val="bottom"/>
            <w:hideMark/>
          </w:tcPr>
          <w:p w14:paraId="19146D82" w14:textId="77777777" w:rsidR="0024586E" w:rsidRPr="009D3191" w:rsidRDefault="0024586E" w:rsidP="009574F4">
            <w:pPr>
              <w:spacing w:after="0"/>
              <w:rPr>
                <w:rFonts w:eastAsia="Times New Roman" w:cs="Calibri"/>
                <w:b/>
                <w:bCs/>
                <w:color w:val="FFFFFF"/>
                <w:sz w:val="20"/>
                <w:szCs w:val="20"/>
                <w:lang w:eastAsia="cs-CZ"/>
              </w:rPr>
            </w:pPr>
            <w:r w:rsidRPr="009D3191">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3FB9D8C9" w14:textId="77777777" w:rsidR="0024586E" w:rsidRPr="009D3191" w:rsidRDefault="0024586E" w:rsidP="009574F4">
            <w:pPr>
              <w:spacing w:after="0"/>
              <w:rPr>
                <w:rFonts w:eastAsia="Times New Roman" w:cs="Calibri"/>
                <w:b/>
                <w:bCs/>
                <w:color w:val="FFFFFF"/>
                <w:sz w:val="20"/>
                <w:szCs w:val="20"/>
                <w:lang w:eastAsia="cs-CZ"/>
              </w:rPr>
            </w:pPr>
            <w:r w:rsidRPr="009D3191">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57BE7893" w14:textId="77777777" w:rsidR="0024586E" w:rsidRPr="009D3191" w:rsidRDefault="0024586E" w:rsidP="009574F4">
            <w:pPr>
              <w:spacing w:after="0"/>
              <w:rPr>
                <w:rFonts w:eastAsia="Times New Roman" w:cs="Calibri"/>
                <w:b/>
                <w:bCs/>
                <w:color w:val="FFFFFF"/>
                <w:sz w:val="20"/>
                <w:szCs w:val="20"/>
                <w:lang w:eastAsia="cs-CZ"/>
              </w:rPr>
            </w:pPr>
            <w:r w:rsidRPr="009D3191">
              <w:rPr>
                <w:rFonts w:eastAsia="Times New Roman" w:cs="Calibri"/>
                <w:b/>
                <w:bCs/>
                <w:color w:val="FFFFFF"/>
                <w:sz w:val="20"/>
                <w:szCs w:val="20"/>
                <w:lang w:eastAsia="cs-CZ"/>
              </w:rPr>
              <w:t>Pořadí</w:t>
            </w:r>
          </w:p>
        </w:tc>
      </w:tr>
      <w:tr w:rsidR="0024586E" w:rsidRPr="009D3191" w14:paraId="0B3EBA51" w14:textId="77777777" w:rsidTr="009A58B0">
        <w:trPr>
          <w:trHeight w:val="290"/>
        </w:trPr>
        <w:tc>
          <w:tcPr>
            <w:tcW w:w="2379" w:type="pct"/>
            <w:tcBorders>
              <w:top w:val="single" w:sz="4" w:space="0" w:color="8ED973"/>
              <w:left w:val="single" w:sz="4" w:space="0" w:color="4EA72E"/>
              <w:bottom w:val="nil"/>
              <w:right w:val="nil"/>
            </w:tcBorders>
            <w:hideMark/>
          </w:tcPr>
          <w:p w14:paraId="32263059"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Průměrný plat asistenta pedagoga k průměrné mzdě</w:t>
            </w:r>
          </w:p>
        </w:tc>
        <w:tc>
          <w:tcPr>
            <w:tcW w:w="648" w:type="pct"/>
            <w:tcBorders>
              <w:top w:val="single" w:sz="4" w:space="0" w:color="8ED973"/>
              <w:left w:val="nil"/>
              <w:bottom w:val="nil"/>
              <w:right w:val="nil"/>
            </w:tcBorders>
            <w:noWrap/>
            <w:hideMark/>
          </w:tcPr>
          <w:p w14:paraId="7E1994C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366D9D5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2638EC3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70C9DD6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2</w:t>
            </w:r>
          </w:p>
        </w:tc>
      </w:tr>
      <w:tr w:rsidR="0024586E" w:rsidRPr="009D3191" w14:paraId="482B74B5" w14:textId="77777777" w:rsidTr="009A58B0">
        <w:trPr>
          <w:trHeight w:val="290"/>
        </w:trPr>
        <w:tc>
          <w:tcPr>
            <w:tcW w:w="2379" w:type="pct"/>
            <w:tcBorders>
              <w:top w:val="single" w:sz="4" w:space="0" w:color="8ED973"/>
              <w:left w:val="single" w:sz="4" w:space="0" w:color="4EA72E"/>
              <w:bottom w:val="nil"/>
              <w:right w:val="nil"/>
            </w:tcBorders>
            <w:hideMark/>
          </w:tcPr>
          <w:p w14:paraId="007E747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Počet úvazků speciálního pedagoga na 10 tis. dětí a žáků za ředitelství</w:t>
            </w:r>
          </w:p>
        </w:tc>
        <w:tc>
          <w:tcPr>
            <w:tcW w:w="648" w:type="pct"/>
            <w:tcBorders>
              <w:top w:val="single" w:sz="4" w:space="0" w:color="8ED973"/>
              <w:left w:val="nil"/>
              <w:bottom w:val="nil"/>
              <w:right w:val="nil"/>
            </w:tcBorders>
            <w:noWrap/>
            <w:hideMark/>
          </w:tcPr>
          <w:p w14:paraId="0E45E3AD"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2A3C2869"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60E70AD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1A97AF44"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13</w:t>
            </w:r>
          </w:p>
        </w:tc>
      </w:tr>
      <w:tr w:rsidR="0024586E" w:rsidRPr="009D3191" w14:paraId="3E2046B7" w14:textId="77777777" w:rsidTr="009A58B0">
        <w:trPr>
          <w:trHeight w:val="290"/>
        </w:trPr>
        <w:tc>
          <w:tcPr>
            <w:tcW w:w="2379" w:type="pct"/>
            <w:tcBorders>
              <w:top w:val="single" w:sz="4" w:space="0" w:color="8ED973"/>
              <w:left w:val="single" w:sz="4" w:space="0" w:color="4EA72E"/>
              <w:bottom w:val="nil"/>
              <w:right w:val="nil"/>
            </w:tcBorders>
            <w:hideMark/>
          </w:tcPr>
          <w:p w14:paraId="462915A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Průměrný plat učitele ve veřejné MŠ k průměrné mzdě</w:t>
            </w:r>
          </w:p>
        </w:tc>
        <w:tc>
          <w:tcPr>
            <w:tcW w:w="648" w:type="pct"/>
            <w:tcBorders>
              <w:top w:val="single" w:sz="4" w:space="0" w:color="8ED973"/>
              <w:left w:val="nil"/>
              <w:bottom w:val="nil"/>
              <w:right w:val="nil"/>
            </w:tcBorders>
            <w:noWrap/>
            <w:hideMark/>
          </w:tcPr>
          <w:p w14:paraId="31306F9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2A3628CF"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7AC85A13"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733472AD"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2</w:t>
            </w:r>
          </w:p>
        </w:tc>
      </w:tr>
      <w:tr w:rsidR="0024586E" w:rsidRPr="009D3191" w14:paraId="1231B9C1" w14:textId="77777777" w:rsidTr="009A58B0">
        <w:trPr>
          <w:trHeight w:val="290"/>
        </w:trPr>
        <w:tc>
          <w:tcPr>
            <w:tcW w:w="2379" w:type="pct"/>
            <w:tcBorders>
              <w:top w:val="single" w:sz="4" w:space="0" w:color="8ED973"/>
              <w:left w:val="single" w:sz="4" w:space="0" w:color="4EA72E"/>
              <w:bottom w:val="nil"/>
              <w:right w:val="nil"/>
            </w:tcBorders>
            <w:hideMark/>
          </w:tcPr>
          <w:p w14:paraId="7745BBA9"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Průměrný plat učitele ve veřejné ZŠ k průměrné mzdě</w:t>
            </w:r>
          </w:p>
        </w:tc>
        <w:tc>
          <w:tcPr>
            <w:tcW w:w="648" w:type="pct"/>
            <w:tcBorders>
              <w:top w:val="single" w:sz="4" w:space="0" w:color="8ED973"/>
              <w:left w:val="nil"/>
              <w:bottom w:val="nil"/>
              <w:right w:val="nil"/>
            </w:tcBorders>
            <w:noWrap/>
            <w:hideMark/>
          </w:tcPr>
          <w:p w14:paraId="493D32C9"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4BD2348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5A36851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89BF5CD"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2</w:t>
            </w:r>
          </w:p>
        </w:tc>
      </w:tr>
      <w:tr w:rsidR="0024586E" w:rsidRPr="009D3191" w14:paraId="27807A4C" w14:textId="77777777" w:rsidTr="009A58B0">
        <w:trPr>
          <w:trHeight w:val="290"/>
        </w:trPr>
        <w:tc>
          <w:tcPr>
            <w:tcW w:w="2379" w:type="pct"/>
            <w:tcBorders>
              <w:top w:val="single" w:sz="4" w:space="0" w:color="8ED973"/>
              <w:left w:val="single" w:sz="4" w:space="0" w:color="4EA72E"/>
              <w:bottom w:val="nil"/>
              <w:right w:val="nil"/>
            </w:tcBorders>
            <w:hideMark/>
          </w:tcPr>
          <w:p w14:paraId="18AFD365"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dětí vzdělávajících se v neveřejných MŠ</w:t>
            </w:r>
          </w:p>
        </w:tc>
        <w:tc>
          <w:tcPr>
            <w:tcW w:w="648" w:type="pct"/>
            <w:tcBorders>
              <w:top w:val="single" w:sz="4" w:space="0" w:color="8ED973"/>
              <w:left w:val="nil"/>
              <w:bottom w:val="nil"/>
              <w:right w:val="nil"/>
            </w:tcBorders>
            <w:noWrap/>
            <w:hideMark/>
          </w:tcPr>
          <w:p w14:paraId="2C4D7899"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3318542F"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4762574E"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2BC2913"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14</w:t>
            </w:r>
          </w:p>
        </w:tc>
      </w:tr>
      <w:tr w:rsidR="0024586E" w:rsidRPr="009D3191" w14:paraId="3BD086DC" w14:textId="77777777" w:rsidTr="009A58B0">
        <w:trPr>
          <w:trHeight w:val="520"/>
        </w:trPr>
        <w:tc>
          <w:tcPr>
            <w:tcW w:w="2379" w:type="pct"/>
            <w:tcBorders>
              <w:top w:val="single" w:sz="4" w:space="0" w:color="8ED973"/>
              <w:left w:val="single" w:sz="4" w:space="0" w:color="4EA72E"/>
              <w:bottom w:val="nil"/>
              <w:right w:val="nil"/>
            </w:tcBorders>
            <w:hideMark/>
          </w:tcPr>
          <w:p w14:paraId="06E0788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žáků 1. stupně ZŠ, kteří se vzdělávají ve školách se školní družinou, u níž je naplněná nebo překročená kapacita</w:t>
            </w:r>
          </w:p>
        </w:tc>
        <w:tc>
          <w:tcPr>
            <w:tcW w:w="648" w:type="pct"/>
            <w:tcBorders>
              <w:top w:val="single" w:sz="4" w:space="0" w:color="8ED973"/>
              <w:left w:val="nil"/>
              <w:bottom w:val="nil"/>
              <w:right w:val="nil"/>
            </w:tcBorders>
            <w:noWrap/>
            <w:hideMark/>
          </w:tcPr>
          <w:p w14:paraId="6C7C6805"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7BAF829F"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173302E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B02219F"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w:t>
            </w:r>
          </w:p>
        </w:tc>
      </w:tr>
      <w:tr w:rsidR="0024586E" w:rsidRPr="009D3191" w14:paraId="1228C79D" w14:textId="77777777" w:rsidTr="009A58B0">
        <w:trPr>
          <w:trHeight w:val="520"/>
        </w:trPr>
        <w:tc>
          <w:tcPr>
            <w:tcW w:w="2379" w:type="pct"/>
            <w:tcBorders>
              <w:top w:val="single" w:sz="4" w:space="0" w:color="8ED973"/>
              <w:left w:val="single" w:sz="4" w:space="0" w:color="4EA72E"/>
              <w:bottom w:val="nil"/>
              <w:right w:val="nil"/>
            </w:tcBorders>
            <w:hideMark/>
          </w:tcPr>
          <w:p w14:paraId="49D2854E"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základních škol se školní družinou, u níž je naplněná nebo překročená kapacita</w:t>
            </w:r>
          </w:p>
        </w:tc>
        <w:tc>
          <w:tcPr>
            <w:tcW w:w="648" w:type="pct"/>
            <w:tcBorders>
              <w:top w:val="single" w:sz="4" w:space="0" w:color="8ED973"/>
              <w:left w:val="nil"/>
              <w:bottom w:val="nil"/>
              <w:right w:val="nil"/>
            </w:tcBorders>
            <w:noWrap/>
            <w:hideMark/>
          </w:tcPr>
          <w:p w14:paraId="2C50E3F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6456FE4"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20E2416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2F45334"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w:t>
            </w:r>
          </w:p>
        </w:tc>
      </w:tr>
      <w:tr w:rsidR="0024586E" w:rsidRPr="009D3191" w14:paraId="02089504" w14:textId="77777777" w:rsidTr="009A58B0">
        <w:trPr>
          <w:trHeight w:val="520"/>
        </w:trPr>
        <w:tc>
          <w:tcPr>
            <w:tcW w:w="2379" w:type="pct"/>
            <w:tcBorders>
              <w:top w:val="single" w:sz="4" w:space="0" w:color="8ED973"/>
              <w:left w:val="single" w:sz="4" w:space="0" w:color="4EA72E"/>
              <w:bottom w:val="nil"/>
              <w:right w:val="nil"/>
            </w:tcBorders>
            <w:hideMark/>
          </w:tcPr>
          <w:p w14:paraId="417E7DB8"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žáků nastupujících do 1. ročníku ZŠ s odkladem povinné školní docházky</w:t>
            </w:r>
          </w:p>
        </w:tc>
        <w:tc>
          <w:tcPr>
            <w:tcW w:w="648" w:type="pct"/>
            <w:tcBorders>
              <w:top w:val="single" w:sz="4" w:space="0" w:color="8ED973"/>
              <w:left w:val="nil"/>
              <w:bottom w:val="nil"/>
              <w:right w:val="nil"/>
            </w:tcBorders>
            <w:noWrap/>
            <w:hideMark/>
          </w:tcPr>
          <w:p w14:paraId="2CA9D1B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9DF131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4DEC9A1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8DF854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13</w:t>
            </w:r>
          </w:p>
        </w:tc>
      </w:tr>
      <w:tr w:rsidR="0024586E" w:rsidRPr="009D3191" w14:paraId="375E45D6" w14:textId="77777777" w:rsidTr="009A58B0">
        <w:trPr>
          <w:trHeight w:val="290"/>
        </w:trPr>
        <w:tc>
          <w:tcPr>
            <w:tcW w:w="2379" w:type="pct"/>
            <w:tcBorders>
              <w:top w:val="single" w:sz="4" w:space="0" w:color="8ED973"/>
              <w:left w:val="single" w:sz="4" w:space="0" w:color="4EA72E"/>
              <w:bottom w:val="nil"/>
              <w:right w:val="nil"/>
            </w:tcBorders>
            <w:hideMark/>
          </w:tcPr>
          <w:p w14:paraId="1E4971F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dětí plnící povinný předškolní ročník z věkové skupiny</w:t>
            </w:r>
          </w:p>
        </w:tc>
        <w:tc>
          <w:tcPr>
            <w:tcW w:w="648" w:type="pct"/>
            <w:tcBorders>
              <w:top w:val="single" w:sz="4" w:space="0" w:color="8ED973"/>
              <w:left w:val="nil"/>
              <w:bottom w:val="nil"/>
              <w:right w:val="nil"/>
            </w:tcBorders>
            <w:noWrap/>
            <w:hideMark/>
          </w:tcPr>
          <w:p w14:paraId="02A64E28"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4110FFD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4433B47F"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0EA0515E"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2</w:t>
            </w:r>
          </w:p>
        </w:tc>
      </w:tr>
      <w:tr w:rsidR="0024586E" w:rsidRPr="009D3191" w14:paraId="1AFCBD3A" w14:textId="77777777" w:rsidTr="009A58B0">
        <w:trPr>
          <w:trHeight w:val="290"/>
        </w:trPr>
        <w:tc>
          <w:tcPr>
            <w:tcW w:w="2379" w:type="pct"/>
            <w:tcBorders>
              <w:top w:val="single" w:sz="4" w:space="0" w:color="8ED973"/>
              <w:left w:val="single" w:sz="4" w:space="0" w:color="4EA72E"/>
              <w:bottom w:val="nil"/>
              <w:right w:val="nil"/>
            </w:tcBorders>
            <w:hideMark/>
          </w:tcPr>
          <w:p w14:paraId="36A9EF8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dětí ve speciálních třídách MŠ</w:t>
            </w:r>
          </w:p>
        </w:tc>
        <w:tc>
          <w:tcPr>
            <w:tcW w:w="648" w:type="pct"/>
            <w:tcBorders>
              <w:top w:val="single" w:sz="4" w:space="0" w:color="8ED973"/>
              <w:left w:val="nil"/>
              <w:bottom w:val="nil"/>
              <w:right w:val="nil"/>
            </w:tcBorders>
            <w:noWrap/>
            <w:hideMark/>
          </w:tcPr>
          <w:p w14:paraId="3057884E"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914E5E3"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21C40F3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7989152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13</w:t>
            </w:r>
          </w:p>
        </w:tc>
      </w:tr>
      <w:tr w:rsidR="0024586E" w:rsidRPr="009D3191" w14:paraId="37E258FA" w14:textId="77777777" w:rsidTr="009A58B0">
        <w:trPr>
          <w:trHeight w:val="290"/>
        </w:trPr>
        <w:tc>
          <w:tcPr>
            <w:tcW w:w="2379" w:type="pct"/>
            <w:tcBorders>
              <w:top w:val="single" w:sz="4" w:space="0" w:color="8ED973"/>
              <w:left w:val="single" w:sz="4" w:space="0" w:color="4EA72E"/>
              <w:bottom w:val="nil"/>
              <w:right w:val="nil"/>
            </w:tcBorders>
            <w:hideMark/>
          </w:tcPr>
          <w:p w14:paraId="6CF427E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žáků opakujících ročník v SŠ v oborech nástavbového studia</w:t>
            </w:r>
          </w:p>
        </w:tc>
        <w:tc>
          <w:tcPr>
            <w:tcW w:w="648" w:type="pct"/>
            <w:tcBorders>
              <w:top w:val="single" w:sz="4" w:space="0" w:color="8ED973"/>
              <w:left w:val="nil"/>
              <w:bottom w:val="nil"/>
              <w:right w:val="nil"/>
            </w:tcBorders>
            <w:noWrap/>
            <w:hideMark/>
          </w:tcPr>
          <w:p w14:paraId="6DAC580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07B9257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64DEE68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63E8788"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w:t>
            </w:r>
          </w:p>
        </w:tc>
      </w:tr>
      <w:tr w:rsidR="0024586E" w:rsidRPr="009D3191" w14:paraId="7E37A929" w14:textId="77777777" w:rsidTr="009A58B0">
        <w:trPr>
          <w:trHeight w:val="520"/>
        </w:trPr>
        <w:tc>
          <w:tcPr>
            <w:tcW w:w="2379" w:type="pct"/>
            <w:tcBorders>
              <w:top w:val="single" w:sz="4" w:space="0" w:color="8ED973"/>
              <w:left w:val="single" w:sz="4" w:space="0" w:color="4EA72E"/>
              <w:bottom w:val="nil"/>
              <w:right w:val="nil"/>
            </w:tcBorders>
            <w:hideMark/>
          </w:tcPr>
          <w:p w14:paraId="017C503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žáků odcházející ze základní školy bez dosaženého stupně vzdělání v</w:t>
            </w:r>
            <w:r>
              <w:rPr>
                <w:rFonts w:eastAsia="Times New Roman" w:cs="Calibri"/>
                <w:color w:val="000000"/>
                <w:sz w:val="20"/>
                <w:szCs w:val="20"/>
                <w:lang w:eastAsia="cs-CZ"/>
              </w:rPr>
              <w:t> </w:t>
            </w:r>
            <w:r w:rsidRPr="009D3191">
              <w:rPr>
                <w:rFonts w:eastAsia="Times New Roman" w:cs="Calibri"/>
                <w:color w:val="000000"/>
                <w:sz w:val="20"/>
                <w:szCs w:val="20"/>
                <w:lang w:eastAsia="cs-CZ"/>
              </w:rPr>
              <w:t>oboru Základní škola speciální</w:t>
            </w:r>
          </w:p>
        </w:tc>
        <w:tc>
          <w:tcPr>
            <w:tcW w:w="648" w:type="pct"/>
            <w:tcBorders>
              <w:top w:val="single" w:sz="4" w:space="0" w:color="8ED973"/>
              <w:left w:val="nil"/>
              <w:bottom w:val="nil"/>
              <w:right w:val="nil"/>
            </w:tcBorders>
            <w:noWrap/>
            <w:hideMark/>
          </w:tcPr>
          <w:p w14:paraId="191EA00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46ED258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12C55EE3"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8D5D420"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w:t>
            </w:r>
          </w:p>
        </w:tc>
      </w:tr>
      <w:tr w:rsidR="0024586E" w:rsidRPr="009D3191" w14:paraId="38B7D2DC" w14:textId="77777777" w:rsidTr="009A58B0">
        <w:trPr>
          <w:trHeight w:val="520"/>
        </w:trPr>
        <w:tc>
          <w:tcPr>
            <w:tcW w:w="2379" w:type="pct"/>
            <w:tcBorders>
              <w:top w:val="single" w:sz="4" w:space="0" w:color="8ED973"/>
              <w:left w:val="single" w:sz="4" w:space="0" w:color="4EA72E"/>
              <w:bottom w:val="nil"/>
              <w:right w:val="nil"/>
            </w:tcBorders>
            <w:hideMark/>
          </w:tcPr>
          <w:p w14:paraId="38618C6C"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absolventů ZŠ, kteří v daném roce nepokračují na SŠ nebo konzervatoři</w:t>
            </w:r>
          </w:p>
        </w:tc>
        <w:tc>
          <w:tcPr>
            <w:tcW w:w="648" w:type="pct"/>
            <w:tcBorders>
              <w:top w:val="single" w:sz="4" w:space="0" w:color="8ED973"/>
              <w:left w:val="nil"/>
              <w:bottom w:val="nil"/>
              <w:right w:val="nil"/>
            </w:tcBorders>
            <w:noWrap/>
            <w:hideMark/>
          </w:tcPr>
          <w:p w14:paraId="1154CEE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7D9201D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655E002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238D10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13</w:t>
            </w:r>
          </w:p>
        </w:tc>
      </w:tr>
      <w:tr w:rsidR="0024586E" w:rsidRPr="009D3191" w14:paraId="2477AC25" w14:textId="77777777" w:rsidTr="009A58B0">
        <w:trPr>
          <w:trHeight w:val="290"/>
        </w:trPr>
        <w:tc>
          <w:tcPr>
            <w:tcW w:w="2379" w:type="pct"/>
            <w:tcBorders>
              <w:top w:val="single" w:sz="4" w:space="0" w:color="8ED973"/>
              <w:left w:val="single" w:sz="4" w:space="0" w:color="4EA72E"/>
              <w:bottom w:val="nil"/>
              <w:right w:val="nil"/>
            </w:tcBorders>
            <w:hideMark/>
          </w:tcPr>
          <w:p w14:paraId="7F21092D"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Index šikany (TIMSS) - žáci 8. ročníků ZŠ</w:t>
            </w:r>
          </w:p>
        </w:tc>
        <w:tc>
          <w:tcPr>
            <w:tcW w:w="648" w:type="pct"/>
            <w:tcBorders>
              <w:top w:val="single" w:sz="4" w:space="0" w:color="8ED973"/>
              <w:left w:val="nil"/>
              <w:bottom w:val="nil"/>
              <w:right w:val="nil"/>
            </w:tcBorders>
            <w:noWrap/>
            <w:hideMark/>
          </w:tcPr>
          <w:p w14:paraId="3169F99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4998BB3F"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03542BDE"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F239E2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w:t>
            </w:r>
          </w:p>
        </w:tc>
      </w:tr>
      <w:tr w:rsidR="0024586E" w:rsidRPr="009D3191" w14:paraId="65E22E14" w14:textId="77777777" w:rsidTr="009A58B0">
        <w:trPr>
          <w:trHeight w:val="290"/>
        </w:trPr>
        <w:tc>
          <w:tcPr>
            <w:tcW w:w="2379" w:type="pct"/>
            <w:tcBorders>
              <w:top w:val="single" w:sz="4" w:space="0" w:color="8ED973"/>
              <w:left w:val="single" w:sz="4" w:space="0" w:color="4EA72E"/>
              <w:bottom w:val="nil"/>
              <w:right w:val="nil"/>
            </w:tcBorders>
            <w:hideMark/>
          </w:tcPr>
          <w:p w14:paraId="1E13CDB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Index šikany (PIRLS) - žáci 4. ročníků ZŠ</w:t>
            </w:r>
          </w:p>
        </w:tc>
        <w:tc>
          <w:tcPr>
            <w:tcW w:w="648" w:type="pct"/>
            <w:tcBorders>
              <w:top w:val="single" w:sz="4" w:space="0" w:color="8ED973"/>
              <w:left w:val="nil"/>
              <w:bottom w:val="nil"/>
              <w:right w:val="nil"/>
            </w:tcBorders>
            <w:noWrap/>
            <w:hideMark/>
          </w:tcPr>
          <w:p w14:paraId="78C81A94"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2FB0A0F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261B1D1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9379F2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13</w:t>
            </w:r>
          </w:p>
        </w:tc>
      </w:tr>
      <w:tr w:rsidR="0024586E" w:rsidRPr="009D3191" w14:paraId="028F55DC" w14:textId="77777777" w:rsidTr="009A58B0">
        <w:trPr>
          <w:trHeight w:val="290"/>
        </w:trPr>
        <w:tc>
          <w:tcPr>
            <w:tcW w:w="2379" w:type="pct"/>
            <w:tcBorders>
              <w:top w:val="single" w:sz="4" w:space="0" w:color="8ED973"/>
              <w:left w:val="single" w:sz="4" w:space="0" w:color="4EA72E"/>
              <w:bottom w:val="nil"/>
              <w:right w:val="nil"/>
            </w:tcBorders>
            <w:hideMark/>
          </w:tcPr>
          <w:p w14:paraId="310EA00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Pocit sounáležitosti TIMSS – žáci 8. ročníků ZŠ</w:t>
            </w:r>
          </w:p>
        </w:tc>
        <w:tc>
          <w:tcPr>
            <w:tcW w:w="648" w:type="pct"/>
            <w:tcBorders>
              <w:top w:val="single" w:sz="4" w:space="0" w:color="8ED973"/>
              <w:left w:val="nil"/>
              <w:bottom w:val="nil"/>
              <w:right w:val="nil"/>
            </w:tcBorders>
            <w:noWrap/>
            <w:hideMark/>
          </w:tcPr>
          <w:p w14:paraId="191E7341"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4038535D"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4BE2ECF4"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BA92222"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w:t>
            </w:r>
          </w:p>
        </w:tc>
      </w:tr>
      <w:tr w:rsidR="0024586E" w:rsidRPr="009D3191" w14:paraId="7899C393" w14:textId="77777777" w:rsidTr="009A58B0">
        <w:trPr>
          <w:trHeight w:val="290"/>
        </w:trPr>
        <w:tc>
          <w:tcPr>
            <w:tcW w:w="2379" w:type="pct"/>
            <w:tcBorders>
              <w:top w:val="single" w:sz="4" w:space="0" w:color="8ED973"/>
              <w:left w:val="single" w:sz="4" w:space="0" w:color="4EA72E"/>
              <w:bottom w:val="nil"/>
              <w:right w:val="nil"/>
            </w:tcBorders>
            <w:hideMark/>
          </w:tcPr>
          <w:p w14:paraId="4FDD94CA"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Pocit sounáležitosti TIMSS – žáci 4. ročníků ZŠ</w:t>
            </w:r>
          </w:p>
        </w:tc>
        <w:tc>
          <w:tcPr>
            <w:tcW w:w="648" w:type="pct"/>
            <w:tcBorders>
              <w:top w:val="single" w:sz="4" w:space="0" w:color="8ED973"/>
              <w:left w:val="nil"/>
              <w:bottom w:val="nil"/>
              <w:right w:val="nil"/>
            </w:tcBorders>
            <w:noWrap/>
            <w:hideMark/>
          </w:tcPr>
          <w:p w14:paraId="02A1E840"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185781B8"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70183899"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C4044BC"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14</w:t>
            </w:r>
          </w:p>
        </w:tc>
      </w:tr>
      <w:tr w:rsidR="0024586E" w:rsidRPr="009D3191" w14:paraId="557F5366" w14:textId="77777777" w:rsidTr="009A58B0">
        <w:trPr>
          <w:trHeight w:val="301"/>
        </w:trPr>
        <w:tc>
          <w:tcPr>
            <w:tcW w:w="2379" w:type="pct"/>
            <w:tcBorders>
              <w:top w:val="single" w:sz="4" w:space="0" w:color="8ED973"/>
              <w:left w:val="single" w:sz="4" w:space="0" w:color="4EA72E"/>
              <w:bottom w:val="single" w:sz="4" w:space="0" w:color="4EA72E"/>
              <w:right w:val="nil"/>
            </w:tcBorders>
            <w:hideMark/>
          </w:tcPr>
          <w:p w14:paraId="3DF0D22B"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Podíl žáků ZŠ s excelentními výsledky v testech čtenářské gramotnosti (PISA)</w:t>
            </w:r>
          </w:p>
        </w:tc>
        <w:tc>
          <w:tcPr>
            <w:tcW w:w="648" w:type="pct"/>
            <w:tcBorders>
              <w:top w:val="single" w:sz="4" w:space="0" w:color="8ED973"/>
              <w:left w:val="nil"/>
              <w:bottom w:val="single" w:sz="4" w:space="0" w:color="4EA72E"/>
              <w:right w:val="nil"/>
            </w:tcBorders>
            <w:noWrap/>
            <w:hideMark/>
          </w:tcPr>
          <w:p w14:paraId="5ABB8786"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Nerovnosti</w:t>
            </w:r>
          </w:p>
        </w:tc>
        <w:tc>
          <w:tcPr>
            <w:tcW w:w="1224" w:type="pct"/>
            <w:tcBorders>
              <w:top w:val="single" w:sz="4" w:space="0" w:color="8ED973"/>
              <w:left w:val="nil"/>
              <w:bottom w:val="single" w:sz="4" w:space="0" w:color="4EA72E"/>
              <w:right w:val="nil"/>
            </w:tcBorders>
            <w:noWrap/>
            <w:hideMark/>
          </w:tcPr>
          <w:p w14:paraId="674AF997"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Žáci v dovednostních úrovních</w:t>
            </w:r>
          </w:p>
        </w:tc>
        <w:tc>
          <w:tcPr>
            <w:tcW w:w="511" w:type="pct"/>
            <w:tcBorders>
              <w:top w:val="single" w:sz="4" w:space="0" w:color="8ED973"/>
              <w:left w:val="nil"/>
              <w:bottom w:val="single" w:sz="4" w:space="0" w:color="4EA72E"/>
              <w:right w:val="nil"/>
            </w:tcBorders>
            <w:noWrap/>
            <w:hideMark/>
          </w:tcPr>
          <w:p w14:paraId="425614DC"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ZŠ, SŠ</w:t>
            </w:r>
          </w:p>
        </w:tc>
        <w:tc>
          <w:tcPr>
            <w:tcW w:w="239" w:type="pct"/>
            <w:tcBorders>
              <w:top w:val="single" w:sz="4" w:space="0" w:color="8ED973"/>
              <w:left w:val="nil"/>
              <w:bottom w:val="single" w:sz="4" w:space="0" w:color="4EA72E"/>
              <w:right w:val="single" w:sz="4" w:space="0" w:color="4EA72E"/>
            </w:tcBorders>
            <w:noWrap/>
            <w:hideMark/>
          </w:tcPr>
          <w:p w14:paraId="7B6B1130" w14:textId="77777777" w:rsidR="0024586E" w:rsidRPr="009D3191" w:rsidRDefault="0024586E" w:rsidP="009574F4">
            <w:pPr>
              <w:spacing w:after="0"/>
              <w:rPr>
                <w:rFonts w:eastAsia="Times New Roman" w:cs="Calibri"/>
                <w:color w:val="000000"/>
                <w:sz w:val="20"/>
                <w:szCs w:val="20"/>
                <w:lang w:eastAsia="cs-CZ"/>
              </w:rPr>
            </w:pPr>
            <w:r w:rsidRPr="009D3191">
              <w:rPr>
                <w:rFonts w:eastAsia="Times New Roman" w:cs="Calibri"/>
                <w:color w:val="000000"/>
                <w:sz w:val="20"/>
                <w:szCs w:val="20"/>
                <w:lang w:eastAsia="cs-CZ"/>
              </w:rPr>
              <w:t>13</w:t>
            </w:r>
          </w:p>
        </w:tc>
      </w:tr>
    </w:tbl>
    <w:p w14:paraId="32D1C3E9" w14:textId="77777777" w:rsidR="0024586E" w:rsidRDefault="0024586E" w:rsidP="0024586E">
      <w:pPr>
        <w:pStyle w:val="Nadpis4"/>
        <w:rPr>
          <w:b w:val="0"/>
        </w:rPr>
      </w:pPr>
      <w:r>
        <w:lastRenderedPageBreak/>
        <w:t>Kraj Vysočina</w:t>
      </w:r>
    </w:p>
    <w:p w14:paraId="3455A048" w14:textId="77777777" w:rsidR="0024586E" w:rsidRDefault="0024586E" w:rsidP="0024586E">
      <w:pPr>
        <w:spacing w:line="276" w:lineRule="auto"/>
        <w:jc w:val="both"/>
      </w:pPr>
      <w:r w:rsidRPr="00772544">
        <w:t xml:space="preserve">V kraji </w:t>
      </w:r>
      <w:r>
        <w:t xml:space="preserve">je nízký počet asistentů pedagoga v MŠ a ZŠ a počet úvazků školních speciálních pedagogů v přepočtu na děti a žáky. Je tu vysoký podíl žáků vzdělávaných v malých a malotřídních ZŠ. Podíl dětí a žáků vzdělávajících se v neveřejných MŠ a ZŠ je nízký. Je zde vysoká účast na předškolním vzdělávání a nízký podíl dětí s odkladem povinné školní docházky. Jsou zde nízké počty dětí a žáků s </w:t>
      </w:r>
      <w:r w:rsidRPr="003D4CB0">
        <w:t>přiznaným podpůrným opatřením s kódem NFN</w:t>
      </w:r>
      <w:r>
        <w:t>, nízký p</w:t>
      </w:r>
      <w:r w:rsidRPr="003D4CB0">
        <w:t>odíl žáků se zdravotním znevýhodněním vzdělávajících se v běžných třídách ZŠ</w:t>
      </w:r>
      <w:r>
        <w:t xml:space="preserve"> a nízký podíl žáků vzdělávaných ve speciálních třídách ZŠ. Vysoký podíl žáků opakuje ročník na 2. stupni ZŠ. V maturitních oborech středních škol je opakování ročníku málo časté. Nízký je podíl žáků, kteří odcházejí ze základní školy bez dosaženého stupně vzdělání, a žáků, kteří dále nepokračují do středního vzdělávání. Daří se dosahovat dobrých výsledků žáků v matematické a přírodovědné gramotnosti. Žáci 4. ročníku mají vysokou míru sounáležitosti se školou.</w:t>
      </w:r>
    </w:p>
    <w:tbl>
      <w:tblPr>
        <w:tblW w:w="5000" w:type="pct"/>
        <w:tblCellMar>
          <w:left w:w="70" w:type="dxa"/>
          <w:right w:w="70" w:type="dxa"/>
        </w:tblCellMar>
        <w:tblLook w:val="04A0" w:firstRow="1" w:lastRow="0" w:firstColumn="1" w:lastColumn="0" w:noHBand="0" w:noVBand="1"/>
      </w:tblPr>
      <w:tblGrid>
        <w:gridCol w:w="6790"/>
        <w:gridCol w:w="1853"/>
        <w:gridCol w:w="3493"/>
        <w:gridCol w:w="1459"/>
        <w:gridCol w:w="681"/>
      </w:tblGrid>
      <w:tr w:rsidR="0024586E" w:rsidRPr="00772544" w14:paraId="3320013E" w14:textId="77777777" w:rsidTr="009A58B0">
        <w:trPr>
          <w:trHeight w:val="290"/>
          <w:tblHeader/>
        </w:trPr>
        <w:tc>
          <w:tcPr>
            <w:tcW w:w="2379" w:type="pct"/>
            <w:tcBorders>
              <w:top w:val="single" w:sz="4" w:space="0" w:color="8ED973"/>
              <w:left w:val="single" w:sz="4" w:space="0" w:color="4EA72E"/>
              <w:bottom w:val="nil"/>
              <w:right w:val="nil"/>
            </w:tcBorders>
            <w:shd w:val="clear" w:color="4EA72E" w:fill="4EA72E"/>
            <w:vAlign w:val="bottom"/>
            <w:hideMark/>
          </w:tcPr>
          <w:p w14:paraId="53F2AD71" w14:textId="77777777" w:rsidR="0024586E" w:rsidRPr="00772544" w:rsidRDefault="0024586E" w:rsidP="009574F4">
            <w:pPr>
              <w:spacing w:after="0"/>
              <w:rPr>
                <w:rFonts w:eastAsia="Times New Roman" w:cs="Calibri"/>
                <w:b/>
                <w:bCs/>
                <w:color w:val="FFFFFF"/>
                <w:sz w:val="20"/>
                <w:szCs w:val="20"/>
                <w:lang w:eastAsia="cs-CZ"/>
              </w:rPr>
            </w:pPr>
            <w:r w:rsidRPr="00772544">
              <w:rPr>
                <w:rFonts w:eastAsia="Times New Roman" w:cs="Calibri"/>
                <w:b/>
                <w:bCs/>
                <w:color w:val="FFFFFF"/>
                <w:sz w:val="20"/>
                <w:szCs w:val="20"/>
                <w:lang w:eastAsia="cs-CZ"/>
              </w:rPr>
              <w:t>Název údaje</w:t>
            </w:r>
          </w:p>
        </w:tc>
        <w:tc>
          <w:tcPr>
            <w:tcW w:w="648" w:type="pct"/>
            <w:tcBorders>
              <w:top w:val="single" w:sz="4" w:space="0" w:color="8ED973"/>
              <w:left w:val="nil"/>
              <w:bottom w:val="nil"/>
              <w:right w:val="nil"/>
            </w:tcBorders>
            <w:shd w:val="clear" w:color="4EA72E" w:fill="4EA72E"/>
            <w:noWrap/>
            <w:vAlign w:val="bottom"/>
            <w:hideMark/>
          </w:tcPr>
          <w:p w14:paraId="1FF4A63D" w14:textId="77777777" w:rsidR="0024586E" w:rsidRPr="00772544" w:rsidRDefault="0024586E" w:rsidP="009574F4">
            <w:pPr>
              <w:spacing w:after="0"/>
              <w:rPr>
                <w:rFonts w:eastAsia="Times New Roman" w:cs="Calibri"/>
                <w:b/>
                <w:bCs/>
                <w:color w:val="FFFFFF"/>
                <w:sz w:val="20"/>
                <w:szCs w:val="20"/>
                <w:lang w:eastAsia="cs-CZ"/>
              </w:rPr>
            </w:pPr>
            <w:r w:rsidRPr="00772544">
              <w:rPr>
                <w:rFonts w:eastAsia="Times New Roman" w:cs="Calibri"/>
                <w:b/>
                <w:bCs/>
                <w:color w:val="FFFFFF"/>
                <w:sz w:val="20"/>
                <w:szCs w:val="20"/>
                <w:lang w:eastAsia="cs-CZ"/>
              </w:rPr>
              <w:t>Oblast</w:t>
            </w:r>
          </w:p>
        </w:tc>
        <w:tc>
          <w:tcPr>
            <w:tcW w:w="1224" w:type="pct"/>
            <w:tcBorders>
              <w:top w:val="single" w:sz="4" w:space="0" w:color="8ED973"/>
              <w:left w:val="nil"/>
              <w:bottom w:val="nil"/>
              <w:right w:val="nil"/>
            </w:tcBorders>
            <w:shd w:val="clear" w:color="4EA72E" w:fill="4EA72E"/>
            <w:noWrap/>
            <w:vAlign w:val="bottom"/>
            <w:hideMark/>
          </w:tcPr>
          <w:p w14:paraId="079A3201" w14:textId="77777777" w:rsidR="0024586E" w:rsidRPr="00772544" w:rsidRDefault="0024586E" w:rsidP="009574F4">
            <w:pPr>
              <w:spacing w:after="0"/>
              <w:rPr>
                <w:rFonts w:eastAsia="Times New Roman" w:cs="Calibri"/>
                <w:b/>
                <w:bCs/>
                <w:color w:val="FFFFFF"/>
                <w:sz w:val="20"/>
                <w:szCs w:val="20"/>
                <w:lang w:eastAsia="cs-CZ"/>
              </w:rPr>
            </w:pPr>
            <w:r w:rsidRPr="00772544">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417CFA8C" w14:textId="77777777" w:rsidR="0024586E" w:rsidRPr="00772544" w:rsidRDefault="0024586E" w:rsidP="009574F4">
            <w:pPr>
              <w:spacing w:after="0"/>
              <w:rPr>
                <w:rFonts w:eastAsia="Times New Roman" w:cs="Calibri"/>
                <w:b/>
                <w:bCs/>
                <w:color w:val="FFFFFF"/>
                <w:sz w:val="20"/>
                <w:szCs w:val="20"/>
                <w:lang w:eastAsia="cs-CZ"/>
              </w:rPr>
            </w:pPr>
            <w:r w:rsidRPr="00772544">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72A4B0D0" w14:textId="77777777" w:rsidR="0024586E" w:rsidRPr="00772544" w:rsidRDefault="0024586E" w:rsidP="009574F4">
            <w:pPr>
              <w:spacing w:after="0"/>
              <w:rPr>
                <w:rFonts w:eastAsia="Times New Roman" w:cs="Calibri"/>
                <w:b/>
                <w:bCs/>
                <w:color w:val="FFFFFF"/>
                <w:sz w:val="20"/>
                <w:szCs w:val="20"/>
                <w:lang w:eastAsia="cs-CZ"/>
              </w:rPr>
            </w:pPr>
            <w:r w:rsidRPr="00772544">
              <w:rPr>
                <w:rFonts w:eastAsia="Times New Roman" w:cs="Calibri"/>
                <w:b/>
                <w:bCs/>
                <w:color w:val="FFFFFF"/>
                <w:sz w:val="20"/>
                <w:szCs w:val="20"/>
                <w:lang w:eastAsia="cs-CZ"/>
              </w:rPr>
              <w:t>Pořadí</w:t>
            </w:r>
          </w:p>
        </w:tc>
      </w:tr>
      <w:tr w:rsidR="0024586E" w:rsidRPr="00772544" w14:paraId="730D8A9D" w14:textId="77777777" w:rsidTr="009A58B0">
        <w:trPr>
          <w:trHeight w:val="290"/>
        </w:trPr>
        <w:tc>
          <w:tcPr>
            <w:tcW w:w="2379" w:type="pct"/>
            <w:tcBorders>
              <w:top w:val="single" w:sz="4" w:space="0" w:color="8ED973"/>
              <w:left w:val="single" w:sz="4" w:space="0" w:color="4EA72E"/>
              <w:bottom w:val="nil"/>
              <w:right w:val="nil"/>
            </w:tcBorders>
            <w:hideMark/>
          </w:tcPr>
          <w:p w14:paraId="6DDC6DB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Počet úvazků asistenta pedagoga v MŠ na 10 tis. dětí</w:t>
            </w:r>
          </w:p>
        </w:tc>
        <w:tc>
          <w:tcPr>
            <w:tcW w:w="648" w:type="pct"/>
            <w:tcBorders>
              <w:top w:val="single" w:sz="4" w:space="0" w:color="8ED973"/>
              <w:left w:val="nil"/>
              <w:bottom w:val="nil"/>
              <w:right w:val="nil"/>
            </w:tcBorders>
            <w:noWrap/>
            <w:hideMark/>
          </w:tcPr>
          <w:p w14:paraId="3C6A805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5CCA688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5C19554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52E9EBF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7265BB09" w14:textId="77777777" w:rsidTr="009A58B0">
        <w:trPr>
          <w:trHeight w:val="290"/>
        </w:trPr>
        <w:tc>
          <w:tcPr>
            <w:tcW w:w="2379" w:type="pct"/>
            <w:tcBorders>
              <w:top w:val="single" w:sz="4" w:space="0" w:color="8ED973"/>
              <w:left w:val="single" w:sz="4" w:space="0" w:color="4EA72E"/>
              <w:bottom w:val="nil"/>
              <w:right w:val="nil"/>
            </w:tcBorders>
            <w:hideMark/>
          </w:tcPr>
          <w:p w14:paraId="698B91D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Počet úvazků asistenta pedagoga v ZŠ na 10 tis. žáků</w:t>
            </w:r>
          </w:p>
        </w:tc>
        <w:tc>
          <w:tcPr>
            <w:tcW w:w="648" w:type="pct"/>
            <w:tcBorders>
              <w:top w:val="single" w:sz="4" w:space="0" w:color="8ED973"/>
              <w:left w:val="nil"/>
              <w:bottom w:val="nil"/>
              <w:right w:val="nil"/>
            </w:tcBorders>
            <w:noWrap/>
            <w:hideMark/>
          </w:tcPr>
          <w:p w14:paraId="2A67834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602348C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44AADC6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9D6D99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410BA093" w14:textId="77777777" w:rsidTr="009A58B0">
        <w:trPr>
          <w:trHeight w:val="290"/>
        </w:trPr>
        <w:tc>
          <w:tcPr>
            <w:tcW w:w="2379" w:type="pct"/>
            <w:tcBorders>
              <w:top w:val="single" w:sz="4" w:space="0" w:color="8ED973"/>
              <w:left w:val="single" w:sz="4" w:space="0" w:color="4EA72E"/>
              <w:bottom w:val="nil"/>
              <w:right w:val="nil"/>
            </w:tcBorders>
            <w:hideMark/>
          </w:tcPr>
          <w:p w14:paraId="43C531E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Počet úvazků speciálního pedagoga na 10 tis. dětí a žáků za ředitelství</w:t>
            </w:r>
          </w:p>
        </w:tc>
        <w:tc>
          <w:tcPr>
            <w:tcW w:w="648" w:type="pct"/>
            <w:tcBorders>
              <w:top w:val="single" w:sz="4" w:space="0" w:color="8ED973"/>
              <w:left w:val="nil"/>
              <w:bottom w:val="nil"/>
              <w:right w:val="nil"/>
            </w:tcBorders>
            <w:noWrap/>
            <w:hideMark/>
          </w:tcPr>
          <w:p w14:paraId="7F18E2B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78BE078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2D33B4D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33AE4EA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4EA605DF" w14:textId="77777777" w:rsidTr="009A58B0">
        <w:trPr>
          <w:trHeight w:val="290"/>
        </w:trPr>
        <w:tc>
          <w:tcPr>
            <w:tcW w:w="2379" w:type="pct"/>
            <w:tcBorders>
              <w:top w:val="single" w:sz="4" w:space="0" w:color="8ED973"/>
              <w:left w:val="single" w:sz="4" w:space="0" w:color="4EA72E"/>
              <w:bottom w:val="nil"/>
              <w:right w:val="nil"/>
            </w:tcBorders>
            <w:hideMark/>
          </w:tcPr>
          <w:p w14:paraId="761C0DA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nekvalifikovaných učitelů MŠ</w:t>
            </w:r>
          </w:p>
        </w:tc>
        <w:tc>
          <w:tcPr>
            <w:tcW w:w="648" w:type="pct"/>
            <w:tcBorders>
              <w:top w:val="single" w:sz="4" w:space="0" w:color="8ED973"/>
              <w:left w:val="nil"/>
              <w:bottom w:val="nil"/>
              <w:right w:val="nil"/>
            </w:tcBorders>
            <w:noWrap/>
            <w:hideMark/>
          </w:tcPr>
          <w:p w14:paraId="2D45A3B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63A6F66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1747B37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34BCEB9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2E52F5FB" w14:textId="77777777" w:rsidTr="009A58B0">
        <w:trPr>
          <w:trHeight w:val="290"/>
        </w:trPr>
        <w:tc>
          <w:tcPr>
            <w:tcW w:w="2379" w:type="pct"/>
            <w:tcBorders>
              <w:top w:val="single" w:sz="4" w:space="0" w:color="8ED973"/>
              <w:left w:val="single" w:sz="4" w:space="0" w:color="4EA72E"/>
              <w:bottom w:val="nil"/>
              <w:right w:val="nil"/>
            </w:tcBorders>
            <w:hideMark/>
          </w:tcPr>
          <w:p w14:paraId="523C20F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vzdělávajících se v malotřídních ZŠ</w:t>
            </w:r>
          </w:p>
        </w:tc>
        <w:tc>
          <w:tcPr>
            <w:tcW w:w="648" w:type="pct"/>
            <w:tcBorders>
              <w:top w:val="single" w:sz="4" w:space="0" w:color="8ED973"/>
              <w:left w:val="nil"/>
              <w:bottom w:val="nil"/>
              <w:right w:val="nil"/>
            </w:tcBorders>
            <w:noWrap/>
            <w:hideMark/>
          </w:tcPr>
          <w:p w14:paraId="67C88AB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137EDED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053856D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D695E4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541D4C8E" w14:textId="77777777" w:rsidTr="009A58B0">
        <w:trPr>
          <w:trHeight w:val="290"/>
        </w:trPr>
        <w:tc>
          <w:tcPr>
            <w:tcW w:w="2379" w:type="pct"/>
            <w:tcBorders>
              <w:top w:val="single" w:sz="4" w:space="0" w:color="8ED973"/>
              <w:left w:val="single" w:sz="4" w:space="0" w:color="4EA72E"/>
              <w:bottom w:val="nil"/>
              <w:right w:val="nil"/>
            </w:tcBorders>
            <w:hideMark/>
          </w:tcPr>
          <w:p w14:paraId="3FB3616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veřejných základních škol do 50 žáků včetně</w:t>
            </w:r>
          </w:p>
        </w:tc>
        <w:tc>
          <w:tcPr>
            <w:tcW w:w="648" w:type="pct"/>
            <w:tcBorders>
              <w:top w:val="single" w:sz="4" w:space="0" w:color="8ED973"/>
              <w:left w:val="nil"/>
              <w:bottom w:val="nil"/>
              <w:right w:val="nil"/>
            </w:tcBorders>
            <w:noWrap/>
            <w:hideMark/>
          </w:tcPr>
          <w:p w14:paraId="5FAC36E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6CC34C9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1B5EA67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925A45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6E2E26AE" w14:textId="77777777" w:rsidTr="009A58B0">
        <w:trPr>
          <w:trHeight w:val="290"/>
        </w:trPr>
        <w:tc>
          <w:tcPr>
            <w:tcW w:w="2379" w:type="pct"/>
            <w:tcBorders>
              <w:top w:val="single" w:sz="4" w:space="0" w:color="8ED973"/>
              <w:left w:val="single" w:sz="4" w:space="0" w:color="4EA72E"/>
              <w:bottom w:val="nil"/>
              <w:right w:val="nil"/>
            </w:tcBorders>
            <w:hideMark/>
          </w:tcPr>
          <w:p w14:paraId="030EC5F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vzdělávajících se v neveřejných MŠ</w:t>
            </w:r>
          </w:p>
        </w:tc>
        <w:tc>
          <w:tcPr>
            <w:tcW w:w="648" w:type="pct"/>
            <w:tcBorders>
              <w:top w:val="single" w:sz="4" w:space="0" w:color="8ED973"/>
              <w:left w:val="nil"/>
              <w:bottom w:val="nil"/>
              <w:right w:val="nil"/>
            </w:tcBorders>
            <w:noWrap/>
            <w:hideMark/>
          </w:tcPr>
          <w:p w14:paraId="68CD818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2EEEE7F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1E46E4D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0C6300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633EC425" w14:textId="77777777" w:rsidTr="009A58B0">
        <w:trPr>
          <w:trHeight w:val="290"/>
        </w:trPr>
        <w:tc>
          <w:tcPr>
            <w:tcW w:w="2379" w:type="pct"/>
            <w:tcBorders>
              <w:top w:val="single" w:sz="4" w:space="0" w:color="8ED973"/>
              <w:left w:val="single" w:sz="4" w:space="0" w:color="4EA72E"/>
              <w:bottom w:val="nil"/>
              <w:right w:val="nil"/>
            </w:tcBorders>
            <w:hideMark/>
          </w:tcPr>
          <w:p w14:paraId="7B8ED7B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vzdělávajících se v neveřejných ZŠ</w:t>
            </w:r>
          </w:p>
        </w:tc>
        <w:tc>
          <w:tcPr>
            <w:tcW w:w="648" w:type="pct"/>
            <w:tcBorders>
              <w:top w:val="single" w:sz="4" w:space="0" w:color="8ED973"/>
              <w:left w:val="nil"/>
              <w:bottom w:val="nil"/>
              <w:right w:val="nil"/>
            </w:tcBorders>
            <w:noWrap/>
            <w:hideMark/>
          </w:tcPr>
          <w:p w14:paraId="31F7A20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Školy a zřizovatelé</w:t>
            </w:r>
          </w:p>
        </w:tc>
        <w:tc>
          <w:tcPr>
            <w:tcW w:w="1224" w:type="pct"/>
            <w:tcBorders>
              <w:top w:val="single" w:sz="4" w:space="0" w:color="8ED973"/>
              <w:left w:val="nil"/>
              <w:bottom w:val="nil"/>
              <w:right w:val="nil"/>
            </w:tcBorders>
            <w:noWrap/>
            <w:hideMark/>
          </w:tcPr>
          <w:p w14:paraId="040F2F0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558BBC2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CBE7FE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2CAE8AA3" w14:textId="77777777" w:rsidTr="009A58B0">
        <w:trPr>
          <w:trHeight w:val="317"/>
        </w:trPr>
        <w:tc>
          <w:tcPr>
            <w:tcW w:w="2379" w:type="pct"/>
            <w:tcBorders>
              <w:top w:val="single" w:sz="4" w:space="0" w:color="8ED973"/>
              <w:left w:val="single" w:sz="4" w:space="0" w:color="4EA72E"/>
              <w:bottom w:val="nil"/>
              <w:right w:val="nil"/>
            </w:tcBorders>
            <w:hideMark/>
          </w:tcPr>
          <w:p w14:paraId="79F7B4D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nastupujících do 1. ročníku ZŠ s odkladem povinné školní docházky</w:t>
            </w:r>
          </w:p>
        </w:tc>
        <w:tc>
          <w:tcPr>
            <w:tcW w:w="648" w:type="pct"/>
            <w:tcBorders>
              <w:top w:val="single" w:sz="4" w:space="0" w:color="8ED973"/>
              <w:left w:val="nil"/>
              <w:bottom w:val="nil"/>
              <w:right w:val="nil"/>
            </w:tcBorders>
            <w:noWrap/>
            <w:hideMark/>
          </w:tcPr>
          <w:p w14:paraId="2EE2013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F56465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1BD4845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2E6D60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1158508A" w14:textId="77777777" w:rsidTr="009A58B0">
        <w:trPr>
          <w:trHeight w:val="290"/>
        </w:trPr>
        <w:tc>
          <w:tcPr>
            <w:tcW w:w="2379" w:type="pct"/>
            <w:tcBorders>
              <w:top w:val="single" w:sz="4" w:space="0" w:color="8ED973"/>
              <w:left w:val="single" w:sz="4" w:space="0" w:color="4EA72E"/>
              <w:bottom w:val="nil"/>
              <w:right w:val="nil"/>
            </w:tcBorders>
            <w:hideMark/>
          </w:tcPr>
          <w:p w14:paraId="3F0967D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ve věku 5 let navštěvujících MŠ z dané věkové skupiny</w:t>
            </w:r>
          </w:p>
        </w:tc>
        <w:tc>
          <w:tcPr>
            <w:tcW w:w="648" w:type="pct"/>
            <w:tcBorders>
              <w:top w:val="single" w:sz="4" w:space="0" w:color="8ED973"/>
              <w:left w:val="nil"/>
              <w:bottom w:val="nil"/>
              <w:right w:val="nil"/>
            </w:tcBorders>
            <w:noWrap/>
            <w:hideMark/>
          </w:tcPr>
          <w:p w14:paraId="66E211D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9D2C09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53435A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EFA3F3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3BB68440" w14:textId="77777777" w:rsidTr="009A58B0">
        <w:trPr>
          <w:trHeight w:val="290"/>
        </w:trPr>
        <w:tc>
          <w:tcPr>
            <w:tcW w:w="2379" w:type="pct"/>
            <w:tcBorders>
              <w:top w:val="single" w:sz="4" w:space="0" w:color="8ED973"/>
              <w:left w:val="single" w:sz="4" w:space="0" w:color="4EA72E"/>
              <w:bottom w:val="nil"/>
              <w:right w:val="nil"/>
            </w:tcBorders>
            <w:hideMark/>
          </w:tcPr>
          <w:p w14:paraId="0416881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plnící povinný předškolní ročník z věkové skupiny</w:t>
            </w:r>
          </w:p>
        </w:tc>
        <w:tc>
          <w:tcPr>
            <w:tcW w:w="648" w:type="pct"/>
            <w:tcBorders>
              <w:top w:val="single" w:sz="4" w:space="0" w:color="8ED973"/>
              <w:left w:val="nil"/>
              <w:bottom w:val="nil"/>
              <w:right w:val="nil"/>
            </w:tcBorders>
            <w:noWrap/>
            <w:hideMark/>
          </w:tcPr>
          <w:p w14:paraId="6F6F988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73C038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4461508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45C15A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6C8943E0" w14:textId="77777777" w:rsidTr="009A58B0">
        <w:trPr>
          <w:trHeight w:val="520"/>
        </w:trPr>
        <w:tc>
          <w:tcPr>
            <w:tcW w:w="2379" w:type="pct"/>
            <w:tcBorders>
              <w:top w:val="single" w:sz="4" w:space="0" w:color="8ED973"/>
              <w:left w:val="single" w:sz="4" w:space="0" w:color="4EA72E"/>
              <w:bottom w:val="nil"/>
              <w:right w:val="nil"/>
            </w:tcBorders>
            <w:hideMark/>
          </w:tcPr>
          <w:p w14:paraId="63FC5F0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ve věku 3-5 let navštěvujících předškolní vzdělávání z dané věkové skupiny</w:t>
            </w:r>
          </w:p>
        </w:tc>
        <w:tc>
          <w:tcPr>
            <w:tcW w:w="648" w:type="pct"/>
            <w:tcBorders>
              <w:top w:val="single" w:sz="4" w:space="0" w:color="8ED973"/>
              <w:left w:val="nil"/>
              <w:bottom w:val="nil"/>
              <w:right w:val="nil"/>
            </w:tcBorders>
            <w:noWrap/>
            <w:hideMark/>
          </w:tcPr>
          <w:p w14:paraId="63D61F8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88365C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3E4CCA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0B8AF29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56976DA1" w14:textId="77777777" w:rsidTr="009A58B0">
        <w:trPr>
          <w:trHeight w:val="290"/>
        </w:trPr>
        <w:tc>
          <w:tcPr>
            <w:tcW w:w="2379" w:type="pct"/>
            <w:tcBorders>
              <w:top w:val="single" w:sz="4" w:space="0" w:color="8ED973"/>
              <w:left w:val="single" w:sz="4" w:space="0" w:color="4EA72E"/>
              <w:bottom w:val="nil"/>
              <w:right w:val="nil"/>
            </w:tcBorders>
            <w:hideMark/>
          </w:tcPr>
          <w:p w14:paraId="68FDCAF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ve věku 3 let navštěvujících MŠ z dané věkové skupiny</w:t>
            </w:r>
          </w:p>
        </w:tc>
        <w:tc>
          <w:tcPr>
            <w:tcW w:w="648" w:type="pct"/>
            <w:tcBorders>
              <w:top w:val="single" w:sz="4" w:space="0" w:color="8ED973"/>
              <w:left w:val="nil"/>
              <w:bottom w:val="nil"/>
              <w:right w:val="nil"/>
            </w:tcBorders>
            <w:noWrap/>
            <w:hideMark/>
          </w:tcPr>
          <w:p w14:paraId="6B60DA8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7DAC0A4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4C12A68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028C2C9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799E9317" w14:textId="77777777" w:rsidTr="009A58B0">
        <w:trPr>
          <w:trHeight w:val="290"/>
        </w:trPr>
        <w:tc>
          <w:tcPr>
            <w:tcW w:w="2379" w:type="pct"/>
            <w:tcBorders>
              <w:top w:val="single" w:sz="4" w:space="0" w:color="8ED973"/>
              <w:left w:val="single" w:sz="4" w:space="0" w:color="4EA72E"/>
              <w:bottom w:val="nil"/>
              <w:right w:val="nil"/>
            </w:tcBorders>
            <w:hideMark/>
          </w:tcPr>
          <w:p w14:paraId="0A558BF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ve věku 4 let navštěvujících MŠ z dané věkové skupiny</w:t>
            </w:r>
          </w:p>
        </w:tc>
        <w:tc>
          <w:tcPr>
            <w:tcW w:w="648" w:type="pct"/>
            <w:tcBorders>
              <w:top w:val="single" w:sz="4" w:space="0" w:color="8ED973"/>
              <w:left w:val="nil"/>
              <w:bottom w:val="nil"/>
              <w:right w:val="nil"/>
            </w:tcBorders>
            <w:noWrap/>
            <w:hideMark/>
          </w:tcPr>
          <w:p w14:paraId="0EE832D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7CF42CD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3E6904C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5DEA1E7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2E6DBA94" w14:textId="77777777" w:rsidTr="009A58B0">
        <w:trPr>
          <w:trHeight w:val="520"/>
        </w:trPr>
        <w:tc>
          <w:tcPr>
            <w:tcW w:w="2379" w:type="pct"/>
            <w:tcBorders>
              <w:top w:val="single" w:sz="4" w:space="0" w:color="8ED973"/>
              <w:left w:val="single" w:sz="4" w:space="0" w:color="4EA72E"/>
              <w:bottom w:val="nil"/>
              <w:right w:val="nil"/>
            </w:tcBorders>
            <w:hideMark/>
          </w:tcPr>
          <w:p w14:paraId="537DC27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se zdravotním znevýhodněním vzdělávajících se v běžných třídách ZŠ</w:t>
            </w:r>
          </w:p>
        </w:tc>
        <w:tc>
          <w:tcPr>
            <w:tcW w:w="648" w:type="pct"/>
            <w:tcBorders>
              <w:top w:val="single" w:sz="4" w:space="0" w:color="8ED973"/>
              <w:left w:val="nil"/>
              <w:bottom w:val="nil"/>
              <w:right w:val="nil"/>
            </w:tcBorders>
            <w:noWrap/>
            <w:hideMark/>
          </w:tcPr>
          <w:p w14:paraId="1A9ABC8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D3F6AB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44ED1ED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7C4A7F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36467575" w14:textId="77777777" w:rsidTr="009A58B0">
        <w:trPr>
          <w:trHeight w:val="290"/>
        </w:trPr>
        <w:tc>
          <w:tcPr>
            <w:tcW w:w="2379" w:type="pct"/>
            <w:tcBorders>
              <w:top w:val="single" w:sz="4" w:space="0" w:color="8ED973"/>
              <w:left w:val="single" w:sz="4" w:space="0" w:color="4EA72E"/>
              <w:bottom w:val="nil"/>
              <w:right w:val="nil"/>
            </w:tcBorders>
            <w:hideMark/>
          </w:tcPr>
          <w:p w14:paraId="429B8A8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dětí s přiznaným podpůrným opatřením s kódem NFN v MŠ</w:t>
            </w:r>
          </w:p>
        </w:tc>
        <w:tc>
          <w:tcPr>
            <w:tcW w:w="648" w:type="pct"/>
            <w:tcBorders>
              <w:top w:val="single" w:sz="4" w:space="0" w:color="8ED973"/>
              <w:left w:val="nil"/>
              <w:bottom w:val="nil"/>
              <w:right w:val="nil"/>
            </w:tcBorders>
            <w:noWrap/>
            <w:hideMark/>
          </w:tcPr>
          <w:p w14:paraId="641EDAF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EC3728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B0E5AD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70C0FA1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57238232" w14:textId="77777777" w:rsidTr="009A58B0">
        <w:trPr>
          <w:trHeight w:val="290"/>
        </w:trPr>
        <w:tc>
          <w:tcPr>
            <w:tcW w:w="2379" w:type="pct"/>
            <w:tcBorders>
              <w:top w:val="single" w:sz="4" w:space="0" w:color="8ED973"/>
              <w:left w:val="single" w:sz="4" w:space="0" w:color="4EA72E"/>
              <w:bottom w:val="nil"/>
              <w:right w:val="nil"/>
            </w:tcBorders>
            <w:hideMark/>
          </w:tcPr>
          <w:p w14:paraId="4814D92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s přiznaným podpůrným opatřením s kódem NFN v ZŠ</w:t>
            </w:r>
          </w:p>
        </w:tc>
        <w:tc>
          <w:tcPr>
            <w:tcW w:w="648" w:type="pct"/>
            <w:tcBorders>
              <w:top w:val="single" w:sz="4" w:space="0" w:color="8ED973"/>
              <w:left w:val="nil"/>
              <w:bottom w:val="nil"/>
              <w:right w:val="nil"/>
            </w:tcBorders>
            <w:noWrap/>
            <w:hideMark/>
          </w:tcPr>
          <w:p w14:paraId="62DB8A3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1B52C3D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12FD0B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267E75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76A483EB" w14:textId="77777777" w:rsidTr="009A58B0">
        <w:trPr>
          <w:trHeight w:val="290"/>
        </w:trPr>
        <w:tc>
          <w:tcPr>
            <w:tcW w:w="2379" w:type="pct"/>
            <w:tcBorders>
              <w:top w:val="single" w:sz="4" w:space="0" w:color="8ED973"/>
              <w:left w:val="single" w:sz="4" w:space="0" w:color="4EA72E"/>
              <w:bottom w:val="nil"/>
              <w:right w:val="nil"/>
            </w:tcBorders>
            <w:hideMark/>
          </w:tcPr>
          <w:p w14:paraId="0846A6D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s přiznaným podpůrným opatřením s kódem NFN v SŠ</w:t>
            </w:r>
          </w:p>
        </w:tc>
        <w:tc>
          <w:tcPr>
            <w:tcW w:w="648" w:type="pct"/>
            <w:tcBorders>
              <w:top w:val="single" w:sz="4" w:space="0" w:color="8ED973"/>
              <w:left w:val="nil"/>
              <w:bottom w:val="nil"/>
              <w:right w:val="nil"/>
            </w:tcBorders>
            <w:noWrap/>
            <w:hideMark/>
          </w:tcPr>
          <w:p w14:paraId="197B1E1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33DEA4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1950F5F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1F9C91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2BDF69FF" w14:textId="77777777" w:rsidTr="009A58B0">
        <w:trPr>
          <w:trHeight w:val="290"/>
        </w:trPr>
        <w:tc>
          <w:tcPr>
            <w:tcW w:w="2379" w:type="pct"/>
            <w:tcBorders>
              <w:top w:val="single" w:sz="4" w:space="0" w:color="8ED973"/>
              <w:left w:val="single" w:sz="4" w:space="0" w:color="4EA72E"/>
              <w:bottom w:val="nil"/>
              <w:right w:val="nil"/>
            </w:tcBorders>
            <w:hideMark/>
          </w:tcPr>
          <w:p w14:paraId="2065C54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ve speciálních třídách ZŠ</w:t>
            </w:r>
          </w:p>
        </w:tc>
        <w:tc>
          <w:tcPr>
            <w:tcW w:w="648" w:type="pct"/>
            <w:tcBorders>
              <w:top w:val="single" w:sz="4" w:space="0" w:color="8ED973"/>
              <w:left w:val="nil"/>
              <w:bottom w:val="nil"/>
              <w:right w:val="nil"/>
            </w:tcBorders>
            <w:noWrap/>
            <w:hideMark/>
          </w:tcPr>
          <w:p w14:paraId="7B4E3F2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3DADAB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7E05AD5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AD8D7E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6697A92A" w14:textId="77777777" w:rsidTr="009A58B0">
        <w:trPr>
          <w:trHeight w:val="290"/>
        </w:trPr>
        <w:tc>
          <w:tcPr>
            <w:tcW w:w="2379" w:type="pct"/>
            <w:tcBorders>
              <w:top w:val="single" w:sz="4" w:space="0" w:color="8ED973"/>
              <w:left w:val="single" w:sz="4" w:space="0" w:color="4EA72E"/>
              <w:bottom w:val="nil"/>
              <w:right w:val="nil"/>
            </w:tcBorders>
            <w:hideMark/>
          </w:tcPr>
          <w:p w14:paraId="34F23481"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lastRenderedPageBreak/>
              <w:t>Průměrný výsledek 15letých v testech matematické gramotnosti (PISA)</w:t>
            </w:r>
          </w:p>
        </w:tc>
        <w:tc>
          <w:tcPr>
            <w:tcW w:w="648" w:type="pct"/>
            <w:tcBorders>
              <w:top w:val="single" w:sz="4" w:space="0" w:color="8ED973"/>
              <w:left w:val="nil"/>
              <w:bottom w:val="nil"/>
              <w:right w:val="nil"/>
            </w:tcBorders>
            <w:noWrap/>
            <w:hideMark/>
          </w:tcPr>
          <w:p w14:paraId="4AD4FCA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67EE3B1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395D845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3AB1D8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10B09ADD" w14:textId="77777777" w:rsidTr="009A58B0">
        <w:trPr>
          <w:trHeight w:val="520"/>
        </w:trPr>
        <w:tc>
          <w:tcPr>
            <w:tcW w:w="2379" w:type="pct"/>
            <w:tcBorders>
              <w:top w:val="single" w:sz="4" w:space="0" w:color="8ED973"/>
              <w:left w:val="single" w:sz="4" w:space="0" w:color="4EA72E"/>
              <w:bottom w:val="nil"/>
              <w:right w:val="nil"/>
            </w:tcBorders>
            <w:hideMark/>
          </w:tcPr>
          <w:p w14:paraId="63419F2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Průměrný výsledek žáků 4. tříd ZŠ v testech matematické dovednosti (TIMSS)</w:t>
            </w:r>
          </w:p>
        </w:tc>
        <w:tc>
          <w:tcPr>
            <w:tcW w:w="648" w:type="pct"/>
            <w:tcBorders>
              <w:top w:val="single" w:sz="4" w:space="0" w:color="8ED973"/>
              <w:left w:val="nil"/>
              <w:bottom w:val="nil"/>
              <w:right w:val="nil"/>
            </w:tcBorders>
            <w:noWrap/>
            <w:hideMark/>
          </w:tcPr>
          <w:p w14:paraId="67836E6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382FAAC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17B77F1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59282C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4F8ED906" w14:textId="77777777" w:rsidTr="009A58B0">
        <w:trPr>
          <w:trHeight w:val="520"/>
        </w:trPr>
        <w:tc>
          <w:tcPr>
            <w:tcW w:w="2379" w:type="pct"/>
            <w:tcBorders>
              <w:top w:val="single" w:sz="4" w:space="0" w:color="8ED973"/>
              <w:left w:val="single" w:sz="4" w:space="0" w:color="4EA72E"/>
              <w:bottom w:val="nil"/>
              <w:right w:val="nil"/>
            </w:tcBorders>
            <w:hideMark/>
          </w:tcPr>
          <w:p w14:paraId="6231C02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Průměrný výsledek žáků 4. tříd ZŠ v testech přírodovědné dovednosti (TIMSS)</w:t>
            </w:r>
          </w:p>
        </w:tc>
        <w:tc>
          <w:tcPr>
            <w:tcW w:w="648" w:type="pct"/>
            <w:tcBorders>
              <w:top w:val="single" w:sz="4" w:space="0" w:color="8ED973"/>
              <w:left w:val="nil"/>
              <w:bottom w:val="nil"/>
              <w:right w:val="nil"/>
            </w:tcBorders>
            <w:noWrap/>
            <w:hideMark/>
          </w:tcPr>
          <w:p w14:paraId="29A5E7B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5CB75D3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01805CA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470343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18A3B222" w14:textId="77777777" w:rsidTr="009A58B0">
        <w:trPr>
          <w:trHeight w:val="290"/>
        </w:trPr>
        <w:tc>
          <w:tcPr>
            <w:tcW w:w="2379" w:type="pct"/>
            <w:tcBorders>
              <w:top w:val="single" w:sz="4" w:space="0" w:color="8ED973"/>
              <w:left w:val="single" w:sz="4" w:space="0" w:color="4EA72E"/>
              <w:bottom w:val="nil"/>
              <w:right w:val="nil"/>
            </w:tcBorders>
            <w:hideMark/>
          </w:tcPr>
          <w:p w14:paraId="36289A61"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opakujících ročník na 2. stupni ZŠ</w:t>
            </w:r>
          </w:p>
        </w:tc>
        <w:tc>
          <w:tcPr>
            <w:tcW w:w="648" w:type="pct"/>
            <w:tcBorders>
              <w:top w:val="single" w:sz="4" w:space="0" w:color="8ED973"/>
              <w:left w:val="nil"/>
              <w:bottom w:val="nil"/>
              <w:right w:val="nil"/>
            </w:tcBorders>
            <w:noWrap/>
            <w:hideMark/>
          </w:tcPr>
          <w:p w14:paraId="4EB7394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661D41E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0B76A82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21D49C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2C0D2EC3" w14:textId="77777777" w:rsidTr="009A58B0">
        <w:trPr>
          <w:trHeight w:val="520"/>
        </w:trPr>
        <w:tc>
          <w:tcPr>
            <w:tcW w:w="2379" w:type="pct"/>
            <w:tcBorders>
              <w:top w:val="single" w:sz="4" w:space="0" w:color="8ED973"/>
              <w:left w:val="single" w:sz="4" w:space="0" w:color="4EA72E"/>
              <w:bottom w:val="nil"/>
              <w:right w:val="nil"/>
            </w:tcBorders>
            <w:hideMark/>
          </w:tcPr>
          <w:p w14:paraId="5AF5723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opakujících ročník v SŠ v maturitních negymnaziálních oborech</w:t>
            </w:r>
          </w:p>
        </w:tc>
        <w:tc>
          <w:tcPr>
            <w:tcW w:w="648" w:type="pct"/>
            <w:tcBorders>
              <w:top w:val="single" w:sz="4" w:space="0" w:color="8ED973"/>
              <w:left w:val="nil"/>
              <w:bottom w:val="nil"/>
              <w:right w:val="nil"/>
            </w:tcBorders>
            <w:noWrap/>
            <w:hideMark/>
          </w:tcPr>
          <w:p w14:paraId="152C1DE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5883B99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50731F0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B796B1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11FF9D94" w14:textId="77777777" w:rsidTr="009A58B0">
        <w:trPr>
          <w:trHeight w:val="290"/>
        </w:trPr>
        <w:tc>
          <w:tcPr>
            <w:tcW w:w="2379" w:type="pct"/>
            <w:tcBorders>
              <w:top w:val="single" w:sz="4" w:space="0" w:color="8ED973"/>
              <w:left w:val="single" w:sz="4" w:space="0" w:color="4EA72E"/>
              <w:bottom w:val="nil"/>
              <w:right w:val="nil"/>
            </w:tcBorders>
            <w:hideMark/>
          </w:tcPr>
          <w:p w14:paraId="10C7C2B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opakujících ročník v SŠ v gymnaziálních oborech</w:t>
            </w:r>
          </w:p>
        </w:tc>
        <w:tc>
          <w:tcPr>
            <w:tcW w:w="648" w:type="pct"/>
            <w:tcBorders>
              <w:top w:val="single" w:sz="4" w:space="0" w:color="8ED973"/>
              <w:left w:val="nil"/>
              <w:bottom w:val="nil"/>
              <w:right w:val="nil"/>
            </w:tcBorders>
            <w:noWrap/>
            <w:hideMark/>
          </w:tcPr>
          <w:p w14:paraId="5A84973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2BAA7C3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466D06C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FA9D93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1B73751F" w14:textId="77777777" w:rsidTr="009A58B0">
        <w:trPr>
          <w:trHeight w:val="520"/>
        </w:trPr>
        <w:tc>
          <w:tcPr>
            <w:tcW w:w="2379" w:type="pct"/>
            <w:tcBorders>
              <w:top w:val="single" w:sz="4" w:space="0" w:color="8ED973"/>
              <w:left w:val="single" w:sz="4" w:space="0" w:color="4EA72E"/>
              <w:bottom w:val="nil"/>
              <w:right w:val="nil"/>
            </w:tcBorders>
            <w:hideMark/>
          </w:tcPr>
          <w:p w14:paraId="164CF4E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odcházející ze základní školy bez dosaženého stupně vzdělání v</w:t>
            </w:r>
            <w:r>
              <w:rPr>
                <w:rFonts w:eastAsia="Times New Roman" w:cs="Calibri"/>
                <w:color w:val="000000"/>
                <w:sz w:val="20"/>
                <w:szCs w:val="20"/>
                <w:lang w:eastAsia="cs-CZ"/>
              </w:rPr>
              <w:t> </w:t>
            </w:r>
            <w:r w:rsidRPr="00772544">
              <w:rPr>
                <w:rFonts w:eastAsia="Times New Roman" w:cs="Calibri"/>
                <w:color w:val="000000"/>
                <w:sz w:val="20"/>
                <w:szCs w:val="20"/>
                <w:lang w:eastAsia="cs-CZ"/>
              </w:rPr>
              <w:t>oboru Základní škola</w:t>
            </w:r>
          </w:p>
        </w:tc>
        <w:tc>
          <w:tcPr>
            <w:tcW w:w="648" w:type="pct"/>
            <w:tcBorders>
              <w:top w:val="single" w:sz="4" w:space="0" w:color="8ED973"/>
              <w:left w:val="nil"/>
              <w:bottom w:val="nil"/>
              <w:right w:val="nil"/>
            </w:tcBorders>
            <w:noWrap/>
            <w:hideMark/>
          </w:tcPr>
          <w:p w14:paraId="215B4BD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4678FA0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2A1CBB9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B55F3B7"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13</w:t>
            </w:r>
          </w:p>
        </w:tc>
      </w:tr>
      <w:tr w:rsidR="0024586E" w:rsidRPr="00772544" w14:paraId="355A035D" w14:textId="77777777" w:rsidTr="009A58B0">
        <w:trPr>
          <w:trHeight w:val="520"/>
        </w:trPr>
        <w:tc>
          <w:tcPr>
            <w:tcW w:w="2379" w:type="pct"/>
            <w:tcBorders>
              <w:top w:val="single" w:sz="4" w:space="0" w:color="8ED973"/>
              <w:left w:val="single" w:sz="4" w:space="0" w:color="4EA72E"/>
              <w:bottom w:val="nil"/>
              <w:right w:val="nil"/>
            </w:tcBorders>
            <w:hideMark/>
          </w:tcPr>
          <w:p w14:paraId="3760DE3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absolventů ZŠ, kteří v daném roce nepokračují na SŠ nebo konzervatoři</w:t>
            </w:r>
          </w:p>
        </w:tc>
        <w:tc>
          <w:tcPr>
            <w:tcW w:w="648" w:type="pct"/>
            <w:tcBorders>
              <w:top w:val="single" w:sz="4" w:space="0" w:color="8ED973"/>
              <w:left w:val="nil"/>
              <w:bottom w:val="nil"/>
              <w:right w:val="nil"/>
            </w:tcBorders>
            <w:noWrap/>
            <w:hideMark/>
          </w:tcPr>
          <w:p w14:paraId="1A3A719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4F23DCB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2DD6F07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29D3972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1DD20A01" w14:textId="77777777" w:rsidTr="009A58B0">
        <w:trPr>
          <w:trHeight w:val="290"/>
        </w:trPr>
        <w:tc>
          <w:tcPr>
            <w:tcW w:w="2379" w:type="pct"/>
            <w:tcBorders>
              <w:top w:val="single" w:sz="4" w:space="0" w:color="8ED973"/>
              <w:left w:val="single" w:sz="4" w:space="0" w:color="4EA72E"/>
              <w:bottom w:val="nil"/>
              <w:right w:val="nil"/>
            </w:tcBorders>
            <w:hideMark/>
          </w:tcPr>
          <w:p w14:paraId="593FE4F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Index šikany (TIMSS) - žáci 4. ročníků ZŠ</w:t>
            </w:r>
          </w:p>
        </w:tc>
        <w:tc>
          <w:tcPr>
            <w:tcW w:w="648" w:type="pct"/>
            <w:tcBorders>
              <w:top w:val="single" w:sz="4" w:space="0" w:color="8ED973"/>
              <w:left w:val="nil"/>
              <w:bottom w:val="nil"/>
              <w:right w:val="nil"/>
            </w:tcBorders>
            <w:noWrap/>
            <w:hideMark/>
          </w:tcPr>
          <w:p w14:paraId="033FE44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4526082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5F13CA7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54BF3B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22977646" w14:textId="77777777" w:rsidTr="009A58B0">
        <w:trPr>
          <w:trHeight w:val="290"/>
        </w:trPr>
        <w:tc>
          <w:tcPr>
            <w:tcW w:w="2379" w:type="pct"/>
            <w:tcBorders>
              <w:top w:val="single" w:sz="4" w:space="0" w:color="8ED973"/>
              <w:left w:val="single" w:sz="4" w:space="0" w:color="4EA72E"/>
              <w:bottom w:val="nil"/>
              <w:right w:val="nil"/>
            </w:tcBorders>
            <w:hideMark/>
          </w:tcPr>
          <w:p w14:paraId="1DD67D4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Index šikany (TIMSS) - žáci 8. ročníků ZŠ</w:t>
            </w:r>
          </w:p>
        </w:tc>
        <w:tc>
          <w:tcPr>
            <w:tcW w:w="648" w:type="pct"/>
            <w:tcBorders>
              <w:top w:val="single" w:sz="4" w:space="0" w:color="8ED973"/>
              <w:left w:val="nil"/>
              <w:bottom w:val="nil"/>
              <w:right w:val="nil"/>
            </w:tcBorders>
            <w:noWrap/>
            <w:hideMark/>
          </w:tcPr>
          <w:p w14:paraId="48905652"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644C5F9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60FC92A6"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492E63C"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7CDE0773" w14:textId="77777777" w:rsidTr="009A58B0">
        <w:trPr>
          <w:trHeight w:val="520"/>
        </w:trPr>
        <w:tc>
          <w:tcPr>
            <w:tcW w:w="2379" w:type="pct"/>
            <w:tcBorders>
              <w:top w:val="single" w:sz="4" w:space="0" w:color="8ED973"/>
              <w:left w:val="single" w:sz="4" w:space="0" w:color="4EA72E"/>
              <w:bottom w:val="nil"/>
              <w:right w:val="nil"/>
            </w:tcBorders>
            <w:hideMark/>
          </w:tcPr>
          <w:p w14:paraId="27A1132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souhlasících s výrokem cítím, že do školy patřím (žáci 4. ročníků ZŠ)</w:t>
            </w:r>
          </w:p>
        </w:tc>
        <w:tc>
          <w:tcPr>
            <w:tcW w:w="648" w:type="pct"/>
            <w:tcBorders>
              <w:top w:val="single" w:sz="4" w:space="0" w:color="8ED973"/>
              <w:left w:val="nil"/>
              <w:bottom w:val="nil"/>
              <w:right w:val="nil"/>
            </w:tcBorders>
            <w:noWrap/>
            <w:hideMark/>
          </w:tcPr>
          <w:p w14:paraId="6969849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10101CC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552DA1B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2A0C62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2</w:t>
            </w:r>
          </w:p>
        </w:tc>
      </w:tr>
      <w:tr w:rsidR="0024586E" w:rsidRPr="00772544" w14:paraId="2827CCBA" w14:textId="77777777" w:rsidTr="009A58B0">
        <w:trPr>
          <w:trHeight w:val="520"/>
        </w:trPr>
        <w:tc>
          <w:tcPr>
            <w:tcW w:w="2379" w:type="pct"/>
            <w:tcBorders>
              <w:top w:val="single" w:sz="4" w:space="0" w:color="8ED973"/>
              <w:left w:val="single" w:sz="4" w:space="0" w:color="4EA72E"/>
              <w:bottom w:val="nil"/>
              <w:right w:val="nil"/>
            </w:tcBorders>
            <w:hideMark/>
          </w:tcPr>
          <w:p w14:paraId="6CD0C5B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ZŠ s excelentními výsledky v testech matematické gramotnosti (PISA)</w:t>
            </w:r>
          </w:p>
        </w:tc>
        <w:tc>
          <w:tcPr>
            <w:tcW w:w="648" w:type="pct"/>
            <w:tcBorders>
              <w:top w:val="single" w:sz="4" w:space="0" w:color="8ED973"/>
              <w:left w:val="nil"/>
              <w:bottom w:val="nil"/>
              <w:right w:val="nil"/>
            </w:tcBorders>
            <w:noWrap/>
            <w:hideMark/>
          </w:tcPr>
          <w:p w14:paraId="203D7F3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7245CE9F"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7B1496B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5FE67BCA"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w:t>
            </w:r>
          </w:p>
        </w:tc>
      </w:tr>
      <w:tr w:rsidR="0024586E" w:rsidRPr="00772544" w14:paraId="614278B9" w14:textId="77777777" w:rsidTr="009A58B0">
        <w:trPr>
          <w:trHeight w:val="520"/>
        </w:trPr>
        <w:tc>
          <w:tcPr>
            <w:tcW w:w="2379" w:type="pct"/>
            <w:tcBorders>
              <w:top w:val="single" w:sz="4" w:space="0" w:color="8ED973"/>
              <w:left w:val="single" w:sz="4" w:space="0" w:color="4EA72E"/>
              <w:bottom w:val="nil"/>
              <w:right w:val="nil"/>
            </w:tcBorders>
            <w:hideMark/>
          </w:tcPr>
          <w:p w14:paraId="19E5B4F8"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4. tříd ZŠ s nedostatečnými výsledky v testech matematických dovedností (TIMSS)</w:t>
            </w:r>
          </w:p>
        </w:tc>
        <w:tc>
          <w:tcPr>
            <w:tcW w:w="648" w:type="pct"/>
            <w:tcBorders>
              <w:top w:val="single" w:sz="4" w:space="0" w:color="8ED973"/>
              <w:left w:val="nil"/>
              <w:bottom w:val="nil"/>
              <w:right w:val="nil"/>
            </w:tcBorders>
            <w:noWrap/>
            <w:hideMark/>
          </w:tcPr>
          <w:p w14:paraId="1C5C46D1"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1B1586A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23DBC6DB"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16881A5"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71FEEFEE" w14:textId="77777777" w:rsidTr="009A58B0">
        <w:trPr>
          <w:trHeight w:val="520"/>
        </w:trPr>
        <w:tc>
          <w:tcPr>
            <w:tcW w:w="2379" w:type="pct"/>
            <w:tcBorders>
              <w:top w:val="single" w:sz="4" w:space="0" w:color="8ED973"/>
              <w:left w:val="single" w:sz="4" w:space="0" w:color="4EA72E"/>
              <w:bottom w:val="nil"/>
              <w:right w:val="nil"/>
            </w:tcBorders>
            <w:hideMark/>
          </w:tcPr>
          <w:p w14:paraId="4E1E2C9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4. tříd ZŠ s nedostatečnými výsledky v testech přírodovědných dovedností (TIMSS)</w:t>
            </w:r>
          </w:p>
        </w:tc>
        <w:tc>
          <w:tcPr>
            <w:tcW w:w="648" w:type="pct"/>
            <w:tcBorders>
              <w:top w:val="single" w:sz="4" w:space="0" w:color="8ED973"/>
              <w:left w:val="nil"/>
              <w:bottom w:val="nil"/>
              <w:right w:val="nil"/>
            </w:tcBorders>
            <w:noWrap/>
            <w:hideMark/>
          </w:tcPr>
          <w:p w14:paraId="76A29A5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5706E500"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3E8C073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CFEB1FD"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r w:rsidR="0024586E" w:rsidRPr="00772544" w14:paraId="2999C74A" w14:textId="77777777" w:rsidTr="009A58B0">
        <w:trPr>
          <w:trHeight w:val="520"/>
        </w:trPr>
        <w:tc>
          <w:tcPr>
            <w:tcW w:w="2379" w:type="pct"/>
            <w:tcBorders>
              <w:top w:val="single" w:sz="4" w:space="0" w:color="8ED973"/>
              <w:left w:val="single" w:sz="4" w:space="0" w:color="4EA72E"/>
              <w:bottom w:val="single" w:sz="4" w:space="0" w:color="4EA72E"/>
              <w:right w:val="nil"/>
            </w:tcBorders>
            <w:hideMark/>
          </w:tcPr>
          <w:p w14:paraId="5C476011"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Podíl žáků ZŠ s nedostatečnými výsledky v testech matematické gramotnosti (PISA)</w:t>
            </w:r>
          </w:p>
        </w:tc>
        <w:tc>
          <w:tcPr>
            <w:tcW w:w="648" w:type="pct"/>
            <w:tcBorders>
              <w:top w:val="single" w:sz="4" w:space="0" w:color="8ED973"/>
              <w:left w:val="nil"/>
              <w:bottom w:val="single" w:sz="4" w:space="0" w:color="4EA72E"/>
              <w:right w:val="nil"/>
            </w:tcBorders>
            <w:noWrap/>
            <w:hideMark/>
          </w:tcPr>
          <w:p w14:paraId="393D4784"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Nerovnosti</w:t>
            </w:r>
          </w:p>
        </w:tc>
        <w:tc>
          <w:tcPr>
            <w:tcW w:w="1224" w:type="pct"/>
            <w:tcBorders>
              <w:top w:val="single" w:sz="4" w:space="0" w:color="8ED973"/>
              <w:left w:val="nil"/>
              <w:bottom w:val="single" w:sz="4" w:space="0" w:color="4EA72E"/>
              <w:right w:val="nil"/>
            </w:tcBorders>
            <w:noWrap/>
            <w:hideMark/>
          </w:tcPr>
          <w:p w14:paraId="7EED5689"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Žáci v dovednostních úrovních</w:t>
            </w:r>
          </w:p>
        </w:tc>
        <w:tc>
          <w:tcPr>
            <w:tcW w:w="511" w:type="pct"/>
            <w:tcBorders>
              <w:top w:val="single" w:sz="4" w:space="0" w:color="8ED973"/>
              <w:left w:val="nil"/>
              <w:bottom w:val="single" w:sz="4" w:space="0" w:color="4EA72E"/>
              <w:right w:val="nil"/>
            </w:tcBorders>
            <w:noWrap/>
            <w:hideMark/>
          </w:tcPr>
          <w:p w14:paraId="721DBFD3"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ZŠ, SŠ</w:t>
            </w:r>
          </w:p>
        </w:tc>
        <w:tc>
          <w:tcPr>
            <w:tcW w:w="239" w:type="pct"/>
            <w:tcBorders>
              <w:top w:val="single" w:sz="4" w:space="0" w:color="8ED973"/>
              <w:left w:val="nil"/>
              <w:bottom w:val="single" w:sz="4" w:space="0" w:color="4EA72E"/>
              <w:right w:val="single" w:sz="4" w:space="0" w:color="4EA72E"/>
            </w:tcBorders>
            <w:noWrap/>
            <w:hideMark/>
          </w:tcPr>
          <w:p w14:paraId="7A54FDCE" w14:textId="77777777" w:rsidR="0024586E" w:rsidRPr="00772544" w:rsidRDefault="0024586E" w:rsidP="009574F4">
            <w:pPr>
              <w:spacing w:after="0"/>
              <w:rPr>
                <w:rFonts w:eastAsia="Times New Roman" w:cs="Calibri"/>
                <w:color w:val="000000"/>
                <w:sz w:val="20"/>
                <w:szCs w:val="20"/>
                <w:lang w:eastAsia="cs-CZ"/>
              </w:rPr>
            </w:pPr>
            <w:r w:rsidRPr="00772544">
              <w:rPr>
                <w:rFonts w:eastAsia="Times New Roman" w:cs="Calibri"/>
                <w:color w:val="000000"/>
                <w:sz w:val="20"/>
                <w:szCs w:val="20"/>
                <w:lang w:eastAsia="cs-CZ"/>
              </w:rPr>
              <w:t>14</w:t>
            </w:r>
          </w:p>
        </w:tc>
      </w:tr>
    </w:tbl>
    <w:p w14:paraId="0B7F3AAD" w14:textId="77777777" w:rsidR="0024586E" w:rsidRDefault="0024586E" w:rsidP="0024586E">
      <w:pPr>
        <w:pStyle w:val="Odstavecseseznamem"/>
        <w:jc w:val="both"/>
      </w:pPr>
    </w:p>
    <w:p w14:paraId="7D5E3E0B" w14:textId="77777777" w:rsidR="00400FE9" w:rsidRDefault="00400FE9">
      <w:pPr>
        <w:spacing w:line="276" w:lineRule="auto"/>
        <w:rPr>
          <w:rFonts w:eastAsiaTheme="majorEastAsia" w:cstheme="majorBidi"/>
          <w:b/>
          <w:color w:val="4C4C4C"/>
          <w:sz w:val="24"/>
          <w:szCs w:val="23"/>
        </w:rPr>
      </w:pPr>
      <w:r>
        <w:br w:type="page"/>
      </w:r>
    </w:p>
    <w:p w14:paraId="2AFABBB1" w14:textId="337DD4EC" w:rsidR="0024586E" w:rsidRDefault="0024586E" w:rsidP="0024586E">
      <w:pPr>
        <w:pStyle w:val="Nadpis4"/>
        <w:rPr>
          <w:b w:val="0"/>
        </w:rPr>
      </w:pPr>
      <w:r>
        <w:lastRenderedPageBreak/>
        <w:t>Jihomoravský kraj</w:t>
      </w:r>
    </w:p>
    <w:p w14:paraId="6FFF3BA8" w14:textId="77777777" w:rsidR="0024586E" w:rsidRPr="00250A16" w:rsidRDefault="0024586E" w:rsidP="0024586E">
      <w:pPr>
        <w:spacing w:line="276" w:lineRule="auto"/>
        <w:jc w:val="both"/>
      </w:pPr>
      <w:r>
        <w:t>V Jihomoravském kraji je n</w:t>
      </w:r>
      <w:r w:rsidRPr="00250A16">
        <w:t xml:space="preserve">ejvyšší počet úvazků speciálních pedagogů a psychologů na 10 tisíc dětí a žáků, </w:t>
      </w:r>
      <w:r>
        <w:t xml:space="preserve">ale </w:t>
      </w:r>
      <w:r w:rsidRPr="00250A16">
        <w:t>nízký průměrný plat psychologa a speciálního pedagoga k průměrné mzdě</w:t>
      </w:r>
      <w:r>
        <w:t>.</w:t>
      </w:r>
      <w:r w:rsidRPr="00250A16">
        <w:t xml:space="preserve"> </w:t>
      </w:r>
      <w:r>
        <w:t>Dále je zde v</w:t>
      </w:r>
      <w:r w:rsidRPr="00250A16">
        <w:t>ysoký počet úvazků nepedagogických zaměstnanců v</w:t>
      </w:r>
      <w:r>
        <w:t> </w:t>
      </w:r>
      <w:r w:rsidRPr="00250A16">
        <w:t>SŠ</w:t>
      </w:r>
      <w:r>
        <w:t xml:space="preserve">, nízký podíl docházky do MŠ u 2letých dětí a nízký podíl žáků </w:t>
      </w:r>
      <w:r>
        <w:br/>
      </w:r>
      <w:r w:rsidRPr="00250A16">
        <w:t>s lehkým mentálním postižením</w:t>
      </w:r>
      <w:r>
        <w:t xml:space="preserve"> v ZŠ.</w:t>
      </w:r>
      <w:r w:rsidRPr="00250A16">
        <w:t xml:space="preserve"> </w:t>
      </w:r>
      <w:r>
        <w:t>Z hodnot indikátorů dále vyplývá v</w:t>
      </w:r>
      <w:r w:rsidRPr="00250A16">
        <w:t xml:space="preserve">ysoký podíl absolventů SŠ s maturitní zkouškou v gymnaziálních oborech, vysoký podíl žáků s přiznaným podpůrným opatřením </w:t>
      </w:r>
      <w:r>
        <w:t xml:space="preserve">s kódem NFN </w:t>
      </w:r>
      <w:r w:rsidRPr="00250A16">
        <w:t>v ZŠ i SŠ</w:t>
      </w:r>
      <w:r>
        <w:t xml:space="preserve"> a</w:t>
      </w:r>
      <w:r w:rsidRPr="00250A16">
        <w:t xml:space="preserve"> vysoký podíl žáků se zdravotním znevýhodněním v SŠ.</w:t>
      </w:r>
      <w:r>
        <w:t xml:space="preserve"> O dobré úrovni výsledků vzdělávání svědčí v</w:t>
      </w:r>
      <w:r w:rsidRPr="00250A16">
        <w:t xml:space="preserve">ysoká absolutní úspěšnost maturantů </w:t>
      </w:r>
      <w:r>
        <w:t>u maturitní zkoušky</w:t>
      </w:r>
      <w:r w:rsidRPr="00250A16">
        <w:t xml:space="preserve">, </w:t>
      </w:r>
      <w:r w:rsidRPr="00D51B83">
        <w:t>dobré výsledky žáků 4. tříd ZŠ v čtenářské dovednosti</w:t>
      </w:r>
      <w:r>
        <w:t xml:space="preserve">, </w:t>
      </w:r>
      <w:r w:rsidRPr="00250A16">
        <w:t>vysoký podíl žáků 5. tříd ZŠ v</w:t>
      </w:r>
      <w:r>
        <w:t> </w:t>
      </w:r>
      <w:r w:rsidRPr="00250A16">
        <w:t>nejvyšších úrovních výsledků z českého jazyka a matematiky</w:t>
      </w:r>
      <w:r>
        <w:t xml:space="preserve"> a také </w:t>
      </w:r>
      <w:r w:rsidRPr="00250A16">
        <w:t xml:space="preserve">vysoký podíl </w:t>
      </w:r>
      <w:r>
        <w:t xml:space="preserve">15letých </w:t>
      </w:r>
      <w:r w:rsidRPr="00250A16">
        <w:t>žáků s excelentními výsledky v testech matematické gramotnosti.</w:t>
      </w:r>
    </w:p>
    <w:tbl>
      <w:tblPr>
        <w:tblW w:w="5000" w:type="pct"/>
        <w:tblLayout w:type="fixed"/>
        <w:tblCellMar>
          <w:left w:w="70" w:type="dxa"/>
          <w:right w:w="70" w:type="dxa"/>
        </w:tblCellMar>
        <w:tblLook w:val="04A0" w:firstRow="1" w:lastRow="0" w:firstColumn="1" w:lastColumn="0" w:noHBand="0" w:noVBand="1"/>
      </w:tblPr>
      <w:tblGrid>
        <w:gridCol w:w="6799"/>
        <w:gridCol w:w="1844"/>
        <w:gridCol w:w="3258"/>
        <w:gridCol w:w="146"/>
        <w:gridCol w:w="1416"/>
        <w:gridCol w:w="128"/>
        <w:gridCol w:w="685"/>
      </w:tblGrid>
      <w:tr w:rsidR="0024586E" w:rsidRPr="00250A16" w14:paraId="6963A5A0" w14:textId="77777777" w:rsidTr="009574F4">
        <w:trPr>
          <w:trHeight w:val="290"/>
          <w:tblHeader/>
        </w:trPr>
        <w:tc>
          <w:tcPr>
            <w:tcW w:w="2381" w:type="pct"/>
            <w:tcBorders>
              <w:top w:val="single" w:sz="4" w:space="0" w:color="8ED973"/>
              <w:left w:val="single" w:sz="4" w:space="0" w:color="4EA72E"/>
              <w:bottom w:val="nil"/>
              <w:right w:val="nil"/>
            </w:tcBorders>
            <w:shd w:val="clear" w:color="4EA72E" w:fill="4EA72E"/>
            <w:vAlign w:val="bottom"/>
            <w:hideMark/>
          </w:tcPr>
          <w:p w14:paraId="2DA08B60" w14:textId="77777777" w:rsidR="0024586E" w:rsidRPr="00250A16" w:rsidRDefault="0024586E" w:rsidP="009574F4">
            <w:pPr>
              <w:spacing w:after="0"/>
              <w:rPr>
                <w:rFonts w:eastAsia="Times New Roman" w:cs="Calibri"/>
                <w:b/>
                <w:bCs/>
                <w:color w:val="FFFFFF"/>
                <w:sz w:val="20"/>
                <w:szCs w:val="20"/>
                <w:lang w:eastAsia="cs-CZ"/>
              </w:rPr>
            </w:pPr>
            <w:r w:rsidRPr="00250A16">
              <w:rPr>
                <w:rFonts w:eastAsia="Times New Roman" w:cs="Calibri"/>
                <w:b/>
                <w:bCs/>
                <w:color w:val="FFFFFF"/>
                <w:sz w:val="20"/>
                <w:szCs w:val="20"/>
                <w:lang w:eastAsia="cs-CZ"/>
              </w:rPr>
              <w:t>Název údaje</w:t>
            </w:r>
          </w:p>
        </w:tc>
        <w:tc>
          <w:tcPr>
            <w:tcW w:w="646" w:type="pct"/>
            <w:tcBorders>
              <w:top w:val="single" w:sz="4" w:space="0" w:color="8ED973"/>
              <w:left w:val="nil"/>
              <w:bottom w:val="nil"/>
              <w:right w:val="nil"/>
            </w:tcBorders>
            <w:shd w:val="clear" w:color="4EA72E" w:fill="4EA72E"/>
            <w:noWrap/>
            <w:vAlign w:val="bottom"/>
            <w:hideMark/>
          </w:tcPr>
          <w:p w14:paraId="030FB8B9" w14:textId="77777777" w:rsidR="0024586E" w:rsidRPr="00250A16" w:rsidRDefault="0024586E" w:rsidP="009574F4">
            <w:pPr>
              <w:spacing w:after="0"/>
              <w:rPr>
                <w:rFonts w:eastAsia="Times New Roman" w:cs="Calibri"/>
                <w:b/>
                <w:bCs/>
                <w:color w:val="FFFFFF"/>
                <w:sz w:val="20"/>
                <w:szCs w:val="20"/>
                <w:lang w:eastAsia="cs-CZ"/>
              </w:rPr>
            </w:pPr>
            <w:r w:rsidRPr="00250A16">
              <w:rPr>
                <w:rFonts w:eastAsia="Times New Roman" w:cs="Calibri"/>
                <w:b/>
                <w:bCs/>
                <w:color w:val="FFFFFF"/>
                <w:sz w:val="20"/>
                <w:szCs w:val="20"/>
                <w:lang w:eastAsia="cs-CZ"/>
              </w:rPr>
              <w:t>Oblast</w:t>
            </w:r>
          </w:p>
        </w:tc>
        <w:tc>
          <w:tcPr>
            <w:tcW w:w="1141" w:type="pct"/>
            <w:tcBorders>
              <w:top w:val="single" w:sz="4" w:space="0" w:color="8ED973"/>
              <w:left w:val="nil"/>
              <w:bottom w:val="nil"/>
              <w:right w:val="nil"/>
            </w:tcBorders>
            <w:shd w:val="clear" w:color="4EA72E" w:fill="4EA72E"/>
            <w:noWrap/>
            <w:vAlign w:val="bottom"/>
            <w:hideMark/>
          </w:tcPr>
          <w:p w14:paraId="0D2E3254" w14:textId="77777777" w:rsidR="0024586E" w:rsidRPr="00250A16" w:rsidRDefault="0024586E" w:rsidP="009574F4">
            <w:pPr>
              <w:spacing w:after="0"/>
              <w:rPr>
                <w:rFonts w:eastAsia="Times New Roman" w:cs="Calibri"/>
                <w:b/>
                <w:bCs/>
                <w:color w:val="FFFFFF"/>
                <w:sz w:val="20"/>
                <w:szCs w:val="20"/>
                <w:lang w:eastAsia="cs-CZ"/>
              </w:rPr>
            </w:pPr>
            <w:r w:rsidRPr="00250A16">
              <w:rPr>
                <w:rFonts w:eastAsia="Times New Roman" w:cs="Calibri"/>
                <w:b/>
                <w:bCs/>
                <w:color w:val="FFFFFF"/>
                <w:sz w:val="20"/>
                <w:szCs w:val="20"/>
                <w:lang w:eastAsia="cs-CZ"/>
              </w:rPr>
              <w:t>Podoblast</w:t>
            </w:r>
          </w:p>
        </w:tc>
        <w:tc>
          <w:tcPr>
            <w:tcW w:w="547" w:type="pct"/>
            <w:gridSpan w:val="2"/>
            <w:tcBorders>
              <w:top w:val="single" w:sz="4" w:space="0" w:color="8ED973"/>
              <w:left w:val="nil"/>
              <w:bottom w:val="nil"/>
              <w:right w:val="nil"/>
            </w:tcBorders>
            <w:shd w:val="clear" w:color="4EA72E" w:fill="4EA72E"/>
            <w:noWrap/>
            <w:vAlign w:val="bottom"/>
            <w:hideMark/>
          </w:tcPr>
          <w:p w14:paraId="404D7EEF" w14:textId="77777777" w:rsidR="0024586E" w:rsidRPr="00250A16" w:rsidRDefault="0024586E" w:rsidP="009574F4">
            <w:pPr>
              <w:spacing w:after="0"/>
              <w:rPr>
                <w:rFonts w:eastAsia="Times New Roman" w:cs="Calibri"/>
                <w:b/>
                <w:bCs/>
                <w:color w:val="FFFFFF"/>
                <w:sz w:val="20"/>
                <w:szCs w:val="20"/>
                <w:lang w:eastAsia="cs-CZ"/>
              </w:rPr>
            </w:pPr>
            <w:r w:rsidRPr="00250A16">
              <w:rPr>
                <w:rFonts w:eastAsia="Times New Roman" w:cs="Calibri"/>
                <w:b/>
                <w:bCs/>
                <w:color w:val="FFFFFF"/>
                <w:sz w:val="20"/>
                <w:szCs w:val="20"/>
                <w:lang w:eastAsia="cs-CZ"/>
              </w:rPr>
              <w:t>Stupeň</w:t>
            </w:r>
            <w:r>
              <w:rPr>
                <w:rFonts w:eastAsia="Times New Roman" w:cs="Calibri"/>
                <w:b/>
                <w:bCs/>
                <w:color w:val="FFFFFF"/>
                <w:sz w:val="20"/>
                <w:szCs w:val="20"/>
                <w:lang w:eastAsia="cs-CZ"/>
              </w:rPr>
              <w:t xml:space="preserve"> </w:t>
            </w:r>
            <w:r w:rsidRPr="00250A16">
              <w:rPr>
                <w:rFonts w:eastAsia="Times New Roman" w:cs="Calibri"/>
                <w:b/>
                <w:bCs/>
                <w:color w:val="FFFFFF"/>
                <w:sz w:val="20"/>
                <w:szCs w:val="20"/>
                <w:lang w:eastAsia="cs-CZ"/>
              </w:rPr>
              <w:t>vzdělání</w:t>
            </w:r>
          </w:p>
        </w:tc>
        <w:tc>
          <w:tcPr>
            <w:tcW w:w="284" w:type="pct"/>
            <w:gridSpan w:val="2"/>
            <w:tcBorders>
              <w:top w:val="single" w:sz="4" w:space="0" w:color="8ED973"/>
              <w:left w:val="nil"/>
              <w:bottom w:val="nil"/>
              <w:right w:val="single" w:sz="4" w:space="0" w:color="4EA72E"/>
            </w:tcBorders>
            <w:shd w:val="clear" w:color="4EA72E" w:fill="4EA72E"/>
            <w:noWrap/>
            <w:vAlign w:val="bottom"/>
            <w:hideMark/>
          </w:tcPr>
          <w:p w14:paraId="780B6D0E" w14:textId="77777777" w:rsidR="0024586E" w:rsidRPr="00250A16" w:rsidRDefault="0024586E" w:rsidP="009574F4">
            <w:pPr>
              <w:spacing w:after="0"/>
              <w:rPr>
                <w:rFonts w:eastAsia="Times New Roman" w:cs="Calibri"/>
                <w:b/>
                <w:bCs/>
                <w:color w:val="FFFFFF"/>
                <w:sz w:val="20"/>
                <w:szCs w:val="20"/>
                <w:lang w:eastAsia="cs-CZ"/>
              </w:rPr>
            </w:pPr>
            <w:r w:rsidRPr="00250A16">
              <w:rPr>
                <w:rFonts w:eastAsia="Times New Roman" w:cs="Calibri"/>
                <w:b/>
                <w:bCs/>
                <w:color w:val="FFFFFF"/>
                <w:sz w:val="20"/>
                <w:szCs w:val="20"/>
                <w:lang w:eastAsia="cs-CZ"/>
              </w:rPr>
              <w:t>Pořadí</w:t>
            </w:r>
          </w:p>
        </w:tc>
      </w:tr>
      <w:tr w:rsidR="0024586E" w:rsidRPr="00250A16" w14:paraId="5FF73D2E" w14:textId="77777777" w:rsidTr="009574F4">
        <w:trPr>
          <w:trHeight w:val="290"/>
        </w:trPr>
        <w:tc>
          <w:tcPr>
            <w:tcW w:w="2381" w:type="pct"/>
            <w:tcBorders>
              <w:top w:val="single" w:sz="4" w:space="0" w:color="8ED973"/>
              <w:left w:val="single" w:sz="4" w:space="0" w:color="4EA72E"/>
              <w:bottom w:val="nil"/>
              <w:right w:val="nil"/>
            </w:tcBorders>
            <w:hideMark/>
          </w:tcPr>
          <w:p w14:paraId="2ED5C89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Počet úvazků speciálního pedagoga na 10 tis. dětí a žáků za ředitelství</w:t>
            </w:r>
          </w:p>
        </w:tc>
        <w:tc>
          <w:tcPr>
            <w:tcW w:w="646" w:type="pct"/>
            <w:tcBorders>
              <w:top w:val="single" w:sz="4" w:space="0" w:color="8ED973"/>
              <w:left w:val="nil"/>
              <w:bottom w:val="nil"/>
              <w:right w:val="nil"/>
            </w:tcBorders>
            <w:noWrap/>
            <w:hideMark/>
          </w:tcPr>
          <w:p w14:paraId="5A7C0332"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Pracovníci ve školství</w:t>
            </w:r>
          </w:p>
        </w:tc>
        <w:tc>
          <w:tcPr>
            <w:tcW w:w="1192" w:type="pct"/>
            <w:gridSpan w:val="2"/>
            <w:tcBorders>
              <w:top w:val="single" w:sz="4" w:space="0" w:color="8ED973"/>
              <w:left w:val="nil"/>
              <w:bottom w:val="nil"/>
              <w:right w:val="nil"/>
            </w:tcBorders>
            <w:noWrap/>
            <w:hideMark/>
          </w:tcPr>
          <w:p w14:paraId="6293688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Další pedagogické profese/specializace</w:t>
            </w:r>
          </w:p>
        </w:tc>
        <w:tc>
          <w:tcPr>
            <w:tcW w:w="541" w:type="pct"/>
            <w:gridSpan w:val="2"/>
            <w:tcBorders>
              <w:top w:val="single" w:sz="4" w:space="0" w:color="8ED973"/>
              <w:left w:val="nil"/>
              <w:bottom w:val="nil"/>
              <w:right w:val="nil"/>
            </w:tcBorders>
            <w:noWrap/>
            <w:hideMark/>
          </w:tcPr>
          <w:p w14:paraId="4C1F162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MŠ, ZŠ, SŠ</w:t>
            </w:r>
          </w:p>
        </w:tc>
        <w:tc>
          <w:tcPr>
            <w:tcW w:w="240" w:type="pct"/>
            <w:tcBorders>
              <w:top w:val="single" w:sz="4" w:space="0" w:color="8ED973"/>
              <w:left w:val="nil"/>
              <w:bottom w:val="nil"/>
              <w:right w:val="single" w:sz="4" w:space="0" w:color="4EA72E"/>
            </w:tcBorders>
            <w:noWrap/>
            <w:hideMark/>
          </w:tcPr>
          <w:p w14:paraId="5FA1DF0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w:t>
            </w:r>
          </w:p>
        </w:tc>
      </w:tr>
      <w:tr w:rsidR="0024586E" w:rsidRPr="00250A16" w14:paraId="0CF86F48" w14:textId="77777777" w:rsidTr="009574F4">
        <w:trPr>
          <w:trHeight w:val="290"/>
        </w:trPr>
        <w:tc>
          <w:tcPr>
            <w:tcW w:w="2381" w:type="pct"/>
            <w:tcBorders>
              <w:top w:val="single" w:sz="4" w:space="0" w:color="8ED973"/>
              <w:left w:val="single" w:sz="4" w:space="0" w:color="4EA72E"/>
              <w:bottom w:val="nil"/>
              <w:right w:val="nil"/>
            </w:tcBorders>
            <w:hideMark/>
          </w:tcPr>
          <w:p w14:paraId="2AF2FBC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Počet úvazků psychologa na 10 tis. dětí a žáků za ředitelství</w:t>
            </w:r>
          </w:p>
        </w:tc>
        <w:tc>
          <w:tcPr>
            <w:tcW w:w="646" w:type="pct"/>
            <w:tcBorders>
              <w:top w:val="single" w:sz="4" w:space="0" w:color="8ED973"/>
              <w:left w:val="nil"/>
              <w:bottom w:val="nil"/>
              <w:right w:val="nil"/>
            </w:tcBorders>
            <w:noWrap/>
            <w:hideMark/>
          </w:tcPr>
          <w:p w14:paraId="46B1FAFA"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Pracovníci ve školství</w:t>
            </w:r>
          </w:p>
        </w:tc>
        <w:tc>
          <w:tcPr>
            <w:tcW w:w="1192" w:type="pct"/>
            <w:gridSpan w:val="2"/>
            <w:tcBorders>
              <w:top w:val="single" w:sz="4" w:space="0" w:color="8ED973"/>
              <w:left w:val="nil"/>
              <w:bottom w:val="nil"/>
              <w:right w:val="nil"/>
            </w:tcBorders>
            <w:noWrap/>
            <w:hideMark/>
          </w:tcPr>
          <w:p w14:paraId="34F6221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Další pedagogické profese/specializace</w:t>
            </w:r>
          </w:p>
        </w:tc>
        <w:tc>
          <w:tcPr>
            <w:tcW w:w="541" w:type="pct"/>
            <w:gridSpan w:val="2"/>
            <w:tcBorders>
              <w:top w:val="single" w:sz="4" w:space="0" w:color="8ED973"/>
              <w:left w:val="nil"/>
              <w:bottom w:val="nil"/>
              <w:right w:val="nil"/>
            </w:tcBorders>
            <w:noWrap/>
            <w:hideMark/>
          </w:tcPr>
          <w:p w14:paraId="6185801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MŠ, ZŠ, SŠ</w:t>
            </w:r>
          </w:p>
        </w:tc>
        <w:tc>
          <w:tcPr>
            <w:tcW w:w="240" w:type="pct"/>
            <w:tcBorders>
              <w:top w:val="single" w:sz="4" w:space="0" w:color="8ED973"/>
              <w:left w:val="nil"/>
              <w:bottom w:val="nil"/>
              <w:right w:val="single" w:sz="4" w:space="0" w:color="4EA72E"/>
            </w:tcBorders>
            <w:noWrap/>
            <w:hideMark/>
          </w:tcPr>
          <w:p w14:paraId="5990397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2D063565" w14:textId="77777777" w:rsidTr="009574F4">
        <w:trPr>
          <w:trHeight w:val="290"/>
        </w:trPr>
        <w:tc>
          <w:tcPr>
            <w:tcW w:w="2381" w:type="pct"/>
            <w:tcBorders>
              <w:top w:val="single" w:sz="4" w:space="0" w:color="8ED973"/>
              <w:left w:val="single" w:sz="4" w:space="0" w:color="4EA72E"/>
              <w:bottom w:val="nil"/>
              <w:right w:val="nil"/>
            </w:tcBorders>
            <w:hideMark/>
          </w:tcPr>
          <w:p w14:paraId="31D1DEB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Průměrný plat školního psychologa k průměrné mzdě</w:t>
            </w:r>
          </w:p>
        </w:tc>
        <w:tc>
          <w:tcPr>
            <w:tcW w:w="646" w:type="pct"/>
            <w:tcBorders>
              <w:top w:val="single" w:sz="4" w:space="0" w:color="8ED973"/>
              <w:left w:val="nil"/>
              <w:bottom w:val="nil"/>
              <w:right w:val="nil"/>
            </w:tcBorders>
            <w:noWrap/>
            <w:hideMark/>
          </w:tcPr>
          <w:p w14:paraId="5B5A103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Pracovníci ve školství</w:t>
            </w:r>
          </w:p>
        </w:tc>
        <w:tc>
          <w:tcPr>
            <w:tcW w:w="1192" w:type="pct"/>
            <w:gridSpan w:val="2"/>
            <w:tcBorders>
              <w:top w:val="single" w:sz="4" w:space="0" w:color="8ED973"/>
              <w:left w:val="nil"/>
              <w:bottom w:val="nil"/>
              <w:right w:val="nil"/>
            </w:tcBorders>
            <w:noWrap/>
            <w:hideMark/>
          </w:tcPr>
          <w:p w14:paraId="292CB98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Další pedagogické profese/specializace</w:t>
            </w:r>
          </w:p>
        </w:tc>
        <w:tc>
          <w:tcPr>
            <w:tcW w:w="541" w:type="pct"/>
            <w:gridSpan w:val="2"/>
            <w:tcBorders>
              <w:top w:val="single" w:sz="4" w:space="0" w:color="8ED973"/>
              <w:left w:val="nil"/>
              <w:bottom w:val="nil"/>
              <w:right w:val="nil"/>
            </w:tcBorders>
            <w:noWrap/>
            <w:hideMark/>
          </w:tcPr>
          <w:p w14:paraId="33D5C4E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MŠ, ZŠ, SŠ</w:t>
            </w:r>
          </w:p>
        </w:tc>
        <w:tc>
          <w:tcPr>
            <w:tcW w:w="240" w:type="pct"/>
            <w:tcBorders>
              <w:top w:val="single" w:sz="4" w:space="0" w:color="8ED973"/>
              <w:left w:val="nil"/>
              <w:bottom w:val="nil"/>
              <w:right w:val="single" w:sz="4" w:space="0" w:color="4EA72E"/>
            </w:tcBorders>
            <w:noWrap/>
            <w:hideMark/>
          </w:tcPr>
          <w:p w14:paraId="2AEEFA5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13</w:t>
            </w:r>
          </w:p>
        </w:tc>
      </w:tr>
      <w:tr w:rsidR="0024586E" w:rsidRPr="00250A16" w14:paraId="779A987C" w14:textId="77777777" w:rsidTr="009574F4">
        <w:trPr>
          <w:trHeight w:val="290"/>
        </w:trPr>
        <w:tc>
          <w:tcPr>
            <w:tcW w:w="2381" w:type="pct"/>
            <w:tcBorders>
              <w:top w:val="single" w:sz="4" w:space="0" w:color="8ED973"/>
              <w:left w:val="single" w:sz="4" w:space="0" w:color="4EA72E"/>
              <w:bottom w:val="nil"/>
              <w:right w:val="nil"/>
            </w:tcBorders>
            <w:hideMark/>
          </w:tcPr>
          <w:p w14:paraId="623B251A"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Průměrný plat speciálního pedagoga k průměrné mzdě</w:t>
            </w:r>
          </w:p>
        </w:tc>
        <w:tc>
          <w:tcPr>
            <w:tcW w:w="646" w:type="pct"/>
            <w:tcBorders>
              <w:top w:val="single" w:sz="4" w:space="0" w:color="8ED973"/>
              <w:left w:val="nil"/>
              <w:bottom w:val="nil"/>
              <w:right w:val="nil"/>
            </w:tcBorders>
            <w:noWrap/>
            <w:hideMark/>
          </w:tcPr>
          <w:p w14:paraId="120B463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Pracovníci ve školství</w:t>
            </w:r>
          </w:p>
        </w:tc>
        <w:tc>
          <w:tcPr>
            <w:tcW w:w="1192" w:type="pct"/>
            <w:gridSpan w:val="2"/>
            <w:tcBorders>
              <w:top w:val="single" w:sz="4" w:space="0" w:color="8ED973"/>
              <w:left w:val="nil"/>
              <w:bottom w:val="nil"/>
              <w:right w:val="nil"/>
            </w:tcBorders>
            <w:noWrap/>
            <w:hideMark/>
          </w:tcPr>
          <w:p w14:paraId="55926C4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Další pedagogické profese/specializace</w:t>
            </w:r>
          </w:p>
        </w:tc>
        <w:tc>
          <w:tcPr>
            <w:tcW w:w="541" w:type="pct"/>
            <w:gridSpan w:val="2"/>
            <w:tcBorders>
              <w:top w:val="single" w:sz="4" w:space="0" w:color="8ED973"/>
              <w:left w:val="nil"/>
              <w:bottom w:val="nil"/>
              <w:right w:val="nil"/>
            </w:tcBorders>
            <w:noWrap/>
            <w:hideMark/>
          </w:tcPr>
          <w:p w14:paraId="6D518D2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MŠ, ZŠ, SŠ</w:t>
            </w:r>
          </w:p>
        </w:tc>
        <w:tc>
          <w:tcPr>
            <w:tcW w:w="240" w:type="pct"/>
            <w:tcBorders>
              <w:top w:val="single" w:sz="4" w:space="0" w:color="8ED973"/>
              <w:left w:val="nil"/>
              <w:bottom w:val="nil"/>
              <w:right w:val="single" w:sz="4" w:space="0" w:color="4EA72E"/>
            </w:tcBorders>
            <w:noWrap/>
            <w:hideMark/>
          </w:tcPr>
          <w:p w14:paraId="6CA1006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13</w:t>
            </w:r>
          </w:p>
        </w:tc>
      </w:tr>
      <w:tr w:rsidR="0024586E" w:rsidRPr="00250A16" w14:paraId="0384EB09" w14:textId="77777777" w:rsidTr="009574F4">
        <w:trPr>
          <w:trHeight w:val="290"/>
        </w:trPr>
        <w:tc>
          <w:tcPr>
            <w:tcW w:w="2381" w:type="pct"/>
            <w:tcBorders>
              <w:top w:val="single" w:sz="4" w:space="0" w:color="8ED973"/>
              <w:left w:val="single" w:sz="4" w:space="0" w:color="4EA72E"/>
              <w:bottom w:val="nil"/>
              <w:right w:val="nil"/>
            </w:tcBorders>
            <w:hideMark/>
          </w:tcPr>
          <w:p w14:paraId="00D8B82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Počet úvazků skupiny nepedagogických zaměstnanců v SŠ na 10 tis. žáků</w:t>
            </w:r>
          </w:p>
        </w:tc>
        <w:tc>
          <w:tcPr>
            <w:tcW w:w="646" w:type="pct"/>
            <w:tcBorders>
              <w:top w:val="single" w:sz="4" w:space="0" w:color="8ED973"/>
              <w:left w:val="nil"/>
              <w:bottom w:val="nil"/>
              <w:right w:val="nil"/>
            </w:tcBorders>
            <w:noWrap/>
            <w:hideMark/>
          </w:tcPr>
          <w:p w14:paraId="151C467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Pracovníci ve školství</w:t>
            </w:r>
          </w:p>
        </w:tc>
        <w:tc>
          <w:tcPr>
            <w:tcW w:w="1192" w:type="pct"/>
            <w:gridSpan w:val="2"/>
            <w:tcBorders>
              <w:top w:val="single" w:sz="4" w:space="0" w:color="8ED973"/>
              <w:left w:val="nil"/>
              <w:bottom w:val="nil"/>
              <w:right w:val="nil"/>
            </w:tcBorders>
            <w:noWrap/>
            <w:hideMark/>
          </w:tcPr>
          <w:p w14:paraId="78C82ED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Nepedagogické profese</w:t>
            </w:r>
          </w:p>
        </w:tc>
        <w:tc>
          <w:tcPr>
            <w:tcW w:w="541" w:type="pct"/>
            <w:gridSpan w:val="2"/>
            <w:tcBorders>
              <w:top w:val="single" w:sz="4" w:space="0" w:color="8ED973"/>
              <w:left w:val="nil"/>
              <w:bottom w:val="nil"/>
              <w:right w:val="nil"/>
            </w:tcBorders>
            <w:noWrap/>
            <w:hideMark/>
          </w:tcPr>
          <w:p w14:paraId="32B95A1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0BC0EE5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0724D07E" w14:textId="77777777" w:rsidTr="009574F4">
        <w:trPr>
          <w:trHeight w:val="290"/>
        </w:trPr>
        <w:tc>
          <w:tcPr>
            <w:tcW w:w="2381" w:type="pct"/>
            <w:tcBorders>
              <w:top w:val="single" w:sz="4" w:space="0" w:color="8ED973"/>
              <w:left w:val="single" w:sz="4" w:space="0" w:color="4EA72E"/>
              <w:bottom w:val="nil"/>
              <w:right w:val="nil"/>
            </w:tcBorders>
            <w:hideMark/>
          </w:tcPr>
          <w:p w14:paraId="1D3960C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Počet MŠ zřizovaných dobrovolným svazkem obcí</w:t>
            </w:r>
          </w:p>
        </w:tc>
        <w:tc>
          <w:tcPr>
            <w:tcW w:w="646" w:type="pct"/>
            <w:tcBorders>
              <w:top w:val="single" w:sz="4" w:space="0" w:color="8ED973"/>
              <w:left w:val="nil"/>
              <w:bottom w:val="nil"/>
              <w:right w:val="nil"/>
            </w:tcBorders>
            <w:noWrap/>
            <w:hideMark/>
          </w:tcPr>
          <w:p w14:paraId="3D43A2F1"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Školy a zřizovatelé</w:t>
            </w:r>
          </w:p>
        </w:tc>
        <w:tc>
          <w:tcPr>
            <w:tcW w:w="1192" w:type="pct"/>
            <w:gridSpan w:val="2"/>
            <w:tcBorders>
              <w:top w:val="single" w:sz="4" w:space="0" w:color="8ED973"/>
              <w:left w:val="nil"/>
              <w:bottom w:val="nil"/>
              <w:right w:val="nil"/>
            </w:tcBorders>
            <w:noWrap/>
            <w:hideMark/>
          </w:tcPr>
          <w:p w14:paraId="66CEC4C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Zřizovatelé</w:t>
            </w:r>
          </w:p>
        </w:tc>
        <w:tc>
          <w:tcPr>
            <w:tcW w:w="541" w:type="pct"/>
            <w:gridSpan w:val="2"/>
            <w:tcBorders>
              <w:top w:val="single" w:sz="4" w:space="0" w:color="8ED973"/>
              <w:left w:val="nil"/>
              <w:bottom w:val="nil"/>
              <w:right w:val="nil"/>
            </w:tcBorders>
            <w:noWrap/>
            <w:hideMark/>
          </w:tcPr>
          <w:p w14:paraId="2560D0BB"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MŠ</w:t>
            </w:r>
          </w:p>
        </w:tc>
        <w:tc>
          <w:tcPr>
            <w:tcW w:w="240" w:type="pct"/>
            <w:tcBorders>
              <w:top w:val="single" w:sz="4" w:space="0" w:color="8ED973"/>
              <w:left w:val="nil"/>
              <w:bottom w:val="nil"/>
              <w:right w:val="single" w:sz="4" w:space="0" w:color="4EA72E"/>
            </w:tcBorders>
            <w:noWrap/>
            <w:hideMark/>
          </w:tcPr>
          <w:p w14:paraId="0E344AC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w:t>
            </w:r>
          </w:p>
        </w:tc>
      </w:tr>
      <w:tr w:rsidR="0024586E" w:rsidRPr="00250A16" w14:paraId="737BC2A2" w14:textId="77777777" w:rsidTr="009574F4">
        <w:trPr>
          <w:trHeight w:val="520"/>
        </w:trPr>
        <w:tc>
          <w:tcPr>
            <w:tcW w:w="2381" w:type="pct"/>
            <w:tcBorders>
              <w:top w:val="single" w:sz="4" w:space="0" w:color="8ED973"/>
              <w:left w:val="single" w:sz="4" w:space="0" w:color="4EA72E"/>
              <w:bottom w:val="nil"/>
              <w:right w:val="nil"/>
            </w:tcBorders>
            <w:hideMark/>
          </w:tcPr>
          <w:p w14:paraId="2A5F275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absolventů středního vzdělávání s maturitní zkouškou v gymnaziálních oborech v denní formě vzdělávání</w:t>
            </w:r>
          </w:p>
        </w:tc>
        <w:tc>
          <w:tcPr>
            <w:tcW w:w="646" w:type="pct"/>
            <w:tcBorders>
              <w:top w:val="single" w:sz="4" w:space="0" w:color="8ED973"/>
              <w:left w:val="nil"/>
              <w:bottom w:val="nil"/>
              <w:right w:val="nil"/>
            </w:tcBorders>
            <w:noWrap/>
            <w:hideMark/>
          </w:tcPr>
          <w:p w14:paraId="1F75564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737CA10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Absolventi</w:t>
            </w:r>
          </w:p>
        </w:tc>
        <w:tc>
          <w:tcPr>
            <w:tcW w:w="541" w:type="pct"/>
            <w:gridSpan w:val="2"/>
            <w:tcBorders>
              <w:top w:val="single" w:sz="4" w:space="0" w:color="8ED973"/>
              <w:left w:val="nil"/>
              <w:bottom w:val="nil"/>
              <w:right w:val="nil"/>
            </w:tcBorders>
            <w:noWrap/>
            <w:hideMark/>
          </w:tcPr>
          <w:p w14:paraId="0F3BBB8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0196064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521590E1" w14:textId="77777777" w:rsidTr="009574F4">
        <w:trPr>
          <w:trHeight w:val="520"/>
        </w:trPr>
        <w:tc>
          <w:tcPr>
            <w:tcW w:w="2381" w:type="pct"/>
            <w:tcBorders>
              <w:top w:val="single" w:sz="4" w:space="0" w:color="8ED973"/>
              <w:left w:val="single" w:sz="4" w:space="0" w:color="4EA72E"/>
              <w:bottom w:val="nil"/>
              <w:right w:val="nil"/>
            </w:tcBorders>
            <w:hideMark/>
          </w:tcPr>
          <w:p w14:paraId="6DE6AFD2"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absolventů středního vzdělávání s výučním listem v denní formě vzdělávání</w:t>
            </w:r>
          </w:p>
        </w:tc>
        <w:tc>
          <w:tcPr>
            <w:tcW w:w="646" w:type="pct"/>
            <w:tcBorders>
              <w:top w:val="single" w:sz="4" w:space="0" w:color="8ED973"/>
              <w:left w:val="nil"/>
              <w:bottom w:val="nil"/>
              <w:right w:val="nil"/>
            </w:tcBorders>
            <w:noWrap/>
            <w:hideMark/>
          </w:tcPr>
          <w:p w14:paraId="45F3F11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3A75E00B"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Absolventi</w:t>
            </w:r>
          </w:p>
        </w:tc>
        <w:tc>
          <w:tcPr>
            <w:tcW w:w="541" w:type="pct"/>
            <w:gridSpan w:val="2"/>
            <w:tcBorders>
              <w:top w:val="single" w:sz="4" w:space="0" w:color="8ED973"/>
              <w:left w:val="nil"/>
              <w:bottom w:val="nil"/>
              <w:right w:val="nil"/>
            </w:tcBorders>
            <w:noWrap/>
            <w:hideMark/>
          </w:tcPr>
          <w:p w14:paraId="5720DF2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231E079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13</w:t>
            </w:r>
          </w:p>
        </w:tc>
      </w:tr>
      <w:tr w:rsidR="0024586E" w:rsidRPr="00250A16" w14:paraId="56B605D4" w14:textId="77777777" w:rsidTr="009574F4">
        <w:trPr>
          <w:trHeight w:val="520"/>
        </w:trPr>
        <w:tc>
          <w:tcPr>
            <w:tcW w:w="2381" w:type="pct"/>
            <w:tcBorders>
              <w:top w:val="single" w:sz="4" w:space="0" w:color="8ED973"/>
              <w:left w:val="single" w:sz="4" w:space="0" w:color="4EA72E"/>
              <w:bottom w:val="nil"/>
              <w:right w:val="nil"/>
            </w:tcBorders>
            <w:hideMark/>
          </w:tcPr>
          <w:p w14:paraId="2063F8F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nově přijatých žáků do 1. ročníku středního vzdělávání s maturitní zkouškou v negymnaziálních oborech v denní formě vzdělávání</w:t>
            </w:r>
          </w:p>
        </w:tc>
        <w:tc>
          <w:tcPr>
            <w:tcW w:w="646" w:type="pct"/>
            <w:tcBorders>
              <w:top w:val="single" w:sz="4" w:space="0" w:color="8ED973"/>
              <w:left w:val="nil"/>
              <w:bottom w:val="nil"/>
              <w:right w:val="nil"/>
            </w:tcBorders>
            <w:noWrap/>
            <w:hideMark/>
          </w:tcPr>
          <w:p w14:paraId="3652941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1907FBF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Přijímání ke vzdělávání</w:t>
            </w:r>
          </w:p>
        </w:tc>
        <w:tc>
          <w:tcPr>
            <w:tcW w:w="541" w:type="pct"/>
            <w:gridSpan w:val="2"/>
            <w:tcBorders>
              <w:top w:val="single" w:sz="4" w:space="0" w:color="8ED973"/>
              <w:left w:val="nil"/>
              <w:bottom w:val="nil"/>
              <w:right w:val="nil"/>
            </w:tcBorders>
            <w:noWrap/>
            <w:hideMark/>
          </w:tcPr>
          <w:p w14:paraId="625A02C1"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32287FA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588044BA" w14:textId="77777777" w:rsidTr="009574F4">
        <w:trPr>
          <w:trHeight w:val="290"/>
        </w:trPr>
        <w:tc>
          <w:tcPr>
            <w:tcW w:w="2381" w:type="pct"/>
            <w:tcBorders>
              <w:top w:val="single" w:sz="4" w:space="0" w:color="8ED973"/>
              <w:left w:val="single" w:sz="4" w:space="0" w:color="4EA72E"/>
              <w:bottom w:val="nil"/>
              <w:right w:val="nil"/>
            </w:tcBorders>
            <w:hideMark/>
          </w:tcPr>
          <w:p w14:paraId="200A7FE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s přiznaným podpůrným opatřením s kódem NFN v ZŠ</w:t>
            </w:r>
          </w:p>
        </w:tc>
        <w:tc>
          <w:tcPr>
            <w:tcW w:w="646" w:type="pct"/>
            <w:tcBorders>
              <w:top w:val="single" w:sz="4" w:space="0" w:color="8ED973"/>
              <w:left w:val="nil"/>
              <w:bottom w:val="nil"/>
              <w:right w:val="nil"/>
            </w:tcBorders>
            <w:noWrap/>
            <w:hideMark/>
          </w:tcPr>
          <w:p w14:paraId="4DD91A8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1CDC936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Účastníci vzdělávání</w:t>
            </w:r>
          </w:p>
        </w:tc>
        <w:tc>
          <w:tcPr>
            <w:tcW w:w="541" w:type="pct"/>
            <w:gridSpan w:val="2"/>
            <w:tcBorders>
              <w:top w:val="single" w:sz="4" w:space="0" w:color="8ED973"/>
              <w:left w:val="nil"/>
              <w:bottom w:val="nil"/>
              <w:right w:val="nil"/>
            </w:tcBorders>
            <w:noWrap/>
            <w:hideMark/>
          </w:tcPr>
          <w:p w14:paraId="55108E4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nil"/>
              <w:right w:val="single" w:sz="4" w:space="0" w:color="4EA72E"/>
            </w:tcBorders>
            <w:noWrap/>
            <w:hideMark/>
          </w:tcPr>
          <w:p w14:paraId="772EC67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w:t>
            </w:r>
          </w:p>
        </w:tc>
      </w:tr>
      <w:tr w:rsidR="0024586E" w:rsidRPr="00250A16" w14:paraId="581072CA" w14:textId="77777777" w:rsidTr="009574F4">
        <w:trPr>
          <w:trHeight w:val="290"/>
        </w:trPr>
        <w:tc>
          <w:tcPr>
            <w:tcW w:w="2381" w:type="pct"/>
            <w:tcBorders>
              <w:top w:val="single" w:sz="4" w:space="0" w:color="8ED973"/>
              <w:left w:val="single" w:sz="4" w:space="0" w:color="4EA72E"/>
              <w:bottom w:val="nil"/>
              <w:right w:val="nil"/>
            </w:tcBorders>
            <w:hideMark/>
          </w:tcPr>
          <w:p w14:paraId="4BD985B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s přiznaným podpůrným opatřením s kódem NFN v SŠ</w:t>
            </w:r>
          </w:p>
        </w:tc>
        <w:tc>
          <w:tcPr>
            <w:tcW w:w="646" w:type="pct"/>
            <w:tcBorders>
              <w:top w:val="single" w:sz="4" w:space="0" w:color="8ED973"/>
              <w:left w:val="nil"/>
              <w:bottom w:val="nil"/>
              <w:right w:val="nil"/>
            </w:tcBorders>
            <w:noWrap/>
            <w:hideMark/>
          </w:tcPr>
          <w:p w14:paraId="72EA7CE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28C6FDE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Účastníci vzdělávání</w:t>
            </w:r>
          </w:p>
        </w:tc>
        <w:tc>
          <w:tcPr>
            <w:tcW w:w="541" w:type="pct"/>
            <w:gridSpan w:val="2"/>
            <w:tcBorders>
              <w:top w:val="single" w:sz="4" w:space="0" w:color="8ED973"/>
              <w:left w:val="nil"/>
              <w:bottom w:val="nil"/>
              <w:right w:val="nil"/>
            </w:tcBorders>
            <w:noWrap/>
            <w:hideMark/>
          </w:tcPr>
          <w:p w14:paraId="7506E86B"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250F53D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w:t>
            </w:r>
          </w:p>
        </w:tc>
      </w:tr>
      <w:tr w:rsidR="0024586E" w:rsidRPr="00250A16" w14:paraId="0BFD8EFE" w14:textId="77777777" w:rsidTr="009574F4">
        <w:trPr>
          <w:trHeight w:val="520"/>
        </w:trPr>
        <w:tc>
          <w:tcPr>
            <w:tcW w:w="2381" w:type="pct"/>
            <w:tcBorders>
              <w:top w:val="single" w:sz="4" w:space="0" w:color="8ED973"/>
              <w:left w:val="single" w:sz="4" w:space="0" w:color="4EA72E"/>
              <w:bottom w:val="nil"/>
              <w:right w:val="nil"/>
            </w:tcBorders>
            <w:hideMark/>
          </w:tcPr>
          <w:p w14:paraId="0A1089C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se zdravotním znevýhodněním vzdělávajících se v běžných třídách SŠ v denní formě vzdělávání</w:t>
            </w:r>
          </w:p>
        </w:tc>
        <w:tc>
          <w:tcPr>
            <w:tcW w:w="646" w:type="pct"/>
            <w:tcBorders>
              <w:top w:val="single" w:sz="4" w:space="0" w:color="8ED973"/>
              <w:left w:val="nil"/>
              <w:bottom w:val="nil"/>
              <w:right w:val="nil"/>
            </w:tcBorders>
            <w:noWrap/>
            <w:hideMark/>
          </w:tcPr>
          <w:p w14:paraId="3781407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749344D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Účastníci vzdělávání</w:t>
            </w:r>
          </w:p>
        </w:tc>
        <w:tc>
          <w:tcPr>
            <w:tcW w:w="541" w:type="pct"/>
            <w:gridSpan w:val="2"/>
            <w:tcBorders>
              <w:top w:val="single" w:sz="4" w:space="0" w:color="8ED973"/>
              <w:left w:val="nil"/>
              <w:bottom w:val="nil"/>
              <w:right w:val="nil"/>
            </w:tcBorders>
            <w:noWrap/>
            <w:hideMark/>
          </w:tcPr>
          <w:p w14:paraId="50C5A322"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491028E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1A3B10BD" w14:textId="77777777" w:rsidTr="009574F4">
        <w:trPr>
          <w:trHeight w:val="520"/>
        </w:trPr>
        <w:tc>
          <w:tcPr>
            <w:tcW w:w="2381" w:type="pct"/>
            <w:tcBorders>
              <w:top w:val="single" w:sz="4" w:space="0" w:color="8ED973"/>
              <w:left w:val="single" w:sz="4" w:space="0" w:color="4EA72E"/>
              <w:bottom w:val="nil"/>
              <w:right w:val="nil"/>
            </w:tcBorders>
            <w:hideMark/>
          </w:tcPr>
          <w:p w14:paraId="196369C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s lehkým mentálním postižením v běžných a speciálních třídách ZŠ</w:t>
            </w:r>
          </w:p>
        </w:tc>
        <w:tc>
          <w:tcPr>
            <w:tcW w:w="646" w:type="pct"/>
            <w:tcBorders>
              <w:top w:val="single" w:sz="4" w:space="0" w:color="8ED973"/>
              <w:left w:val="nil"/>
              <w:bottom w:val="nil"/>
              <w:right w:val="nil"/>
            </w:tcBorders>
            <w:noWrap/>
            <w:hideMark/>
          </w:tcPr>
          <w:p w14:paraId="15DE10C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0335493B"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Účastníci vzdělávání</w:t>
            </w:r>
          </w:p>
        </w:tc>
        <w:tc>
          <w:tcPr>
            <w:tcW w:w="541" w:type="pct"/>
            <w:gridSpan w:val="2"/>
            <w:tcBorders>
              <w:top w:val="single" w:sz="4" w:space="0" w:color="8ED973"/>
              <w:left w:val="nil"/>
              <w:bottom w:val="nil"/>
              <w:right w:val="nil"/>
            </w:tcBorders>
            <w:noWrap/>
            <w:hideMark/>
          </w:tcPr>
          <w:p w14:paraId="2E4707B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nil"/>
              <w:right w:val="single" w:sz="4" w:space="0" w:color="4EA72E"/>
            </w:tcBorders>
            <w:noWrap/>
            <w:hideMark/>
          </w:tcPr>
          <w:p w14:paraId="7600DD6A"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13</w:t>
            </w:r>
          </w:p>
        </w:tc>
      </w:tr>
      <w:tr w:rsidR="0024586E" w:rsidRPr="00250A16" w14:paraId="3FE43865" w14:textId="77777777" w:rsidTr="009574F4">
        <w:trPr>
          <w:trHeight w:val="290"/>
        </w:trPr>
        <w:tc>
          <w:tcPr>
            <w:tcW w:w="2381" w:type="pct"/>
            <w:tcBorders>
              <w:top w:val="single" w:sz="4" w:space="0" w:color="8ED973"/>
              <w:left w:val="single" w:sz="4" w:space="0" w:color="4EA72E"/>
              <w:bottom w:val="nil"/>
              <w:right w:val="nil"/>
            </w:tcBorders>
            <w:hideMark/>
          </w:tcPr>
          <w:p w14:paraId="66FDE56B"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dětí ve věku 2 let navštěvujících MŠ z dané věkové skupiny</w:t>
            </w:r>
          </w:p>
        </w:tc>
        <w:tc>
          <w:tcPr>
            <w:tcW w:w="646" w:type="pct"/>
            <w:tcBorders>
              <w:top w:val="single" w:sz="4" w:space="0" w:color="8ED973"/>
              <w:left w:val="nil"/>
              <w:bottom w:val="nil"/>
              <w:right w:val="nil"/>
            </w:tcBorders>
            <w:noWrap/>
            <w:hideMark/>
          </w:tcPr>
          <w:p w14:paraId="35573401"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 na vzdělávání</w:t>
            </w:r>
          </w:p>
        </w:tc>
        <w:tc>
          <w:tcPr>
            <w:tcW w:w="1192" w:type="pct"/>
            <w:gridSpan w:val="2"/>
            <w:tcBorders>
              <w:top w:val="single" w:sz="4" w:space="0" w:color="8ED973"/>
              <w:left w:val="nil"/>
              <w:bottom w:val="nil"/>
              <w:right w:val="nil"/>
            </w:tcBorders>
            <w:noWrap/>
            <w:hideMark/>
          </w:tcPr>
          <w:p w14:paraId="6D72E70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Účastníci vzdělávání</w:t>
            </w:r>
          </w:p>
        </w:tc>
        <w:tc>
          <w:tcPr>
            <w:tcW w:w="541" w:type="pct"/>
            <w:gridSpan w:val="2"/>
            <w:tcBorders>
              <w:top w:val="single" w:sz="4" w:space="0" w:color="8ED973"/>
              <w:left w:val="nil"/>
              <w:bottom w:val="nil"/>
              <w:right w:val="nil"/>
            </w:tcBorders>
            <w:noWrap/>
            <w:hideMark/>
          </w:tcPr>
          <w:p w14:paraId="6C16ABA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MŠ</w:t>
            </w:r>
          </w:p>
        </w:tc>
        <w:tc>
          <w:tcPr>
            <w:tcW w:w="240" w:type="pct"/>
            <w:tcBorders>
              <w:top w:val="single" w:sz="4" w:space="0" w:color="8ED973"/>
              <w:left w:val="nil"/>
              <w:bottom w:val="nil"/>
              <w:right w:val="single" w:sz="4" w:space="0" w:color="4EA72E"/>
            </w:tcBorders>
            <w:noWrap/>
            <w:hideMark/>
          </w:tcPr>
          <w:p w14:paraId="3CC3D58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13</w:t>
            </w:r>
          </w:p>
        </w:tc>
      </w:tr>
      <w:tr w:rsidR="0024586E" w:rsidRPr="00250A16" w14:paraId="2DAA9C29" w14:textId="77777777" w:rsidTr="009574F4">
        <w:trPr>
          <w:trHeight w:val="290"/>
        </w:trPr>
        <w:tc>
          <w:tcPr>
            <w:tcW w:w="2381" w:type="pct"/>
            <w:tcBorders>
              <w:top w:val="single" w:sz="4" w:space="0" w:color="8ED973"/>
              <w:left w:val="single" w:sz="4" w:space="0" w:color="4EA72E"/>
              <w:bottom w:val="nil"/>
              <w:right w:val="nil"/>
            </w:tcBorders>
            <w:hideMark/>
          </w:tcPr>
          <w:p w14:paraId="3154610B"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lastRenderedPageBreak/>
              <w:t>Absolutní úspěšnost maturantů k celkovému počtu maturantů</w:t>
            </w:r>
          </w:p>
        </w:tc>
        <w:tc>
          <w:tcPr>
            <w:tcW w:w="646" w:type="pct"/>
            <w:tcBorders>
              <w:top w:val="single" w:sz="4" w:space="0" w:color="8ED973"/>
              <w:left w:val="nil"/>
              <w:bottom w:val="nil"/>
              <w:right w:val="nil"/>
            </w:tcBorders>
            <w:noWrap/>
            <w:hideMark/>
          </w:tcPr>
          <w:p w14:paraId="0D1BC17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Výsledky vzdělávání</w:t>
            </w:r>
          </w:p>
        </w:tc>
        <w:tc>
          <w:tcPr>
            <w:tcW w:w="1192" w:type="pct"/>
            <w:gridSpan w:val="2"/>
            <w:tcBorders>
              <w:top w:val="single" w:sz="4" w:space="0" w:color="8ED973"/>
              <w:left w:val="nil"/>
              <w:bottom w:val="nil"/>
              <w:right w:val="nil"/>
            </w:tcBorders>
            <w:noWrap/>
            <w:hideMark/>
          </w:tcPr>
          <w:p w14:paraId="7CDA676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Maturitní zkouška</w:t>
            </w:r>
          </w:p>
        </w:tc>
        <w:tc>
          <w:tcPr>
            <w:tcW w:w="541" w:type="pct"/>
            <w:gridSpan w:val="2"/>
            <w:tcBorders>
              <w:top w:val="single" w:sz="4" w:space="0" w:color="8ED973"/>
              <w:left w:val="nil"/>
              <w:bottom w:val="nil"/>
              <w:right w:val="nil"/>
            </w:tcBorders>
            <w:noWrap/>
            <w:hideMark/>
          </w:tcPr>
          <w:p w14:paraId="61BD741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3C1C886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621885CE" w14:textId="77777777" w:rsidTr="009574F4">
        <w:trPr>
          <w:trHeight w:val="290"/>
        </w:trPr>
        <w:tc>
          <w:tcPr>
            <w:tcW w:w="2381" w:type="pct"/>
            <w:tcBorders>
              <w:top w:val="single" w:sz="4" w:space="0" w:color="8ED973"/>
              <w:left w:val="single" w:sz="4" w:space="0" w:color="4EA72E"/>
              <w:bottom w:val="nil"/>
              <w:right w:val="nil"/>
            </w:tcBorders>
            <w:hideMark/>
          </w:tcPr>
          <w:p w14:paraId="05358D3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 xml:space="preserve">Podíl úspěšných </w:t>
            </w:r>
            <w:proofErr w:type="spellStart"/>
            <w:r w:rsidRPr="00250A16">
              <w:rPr>
                <w:rFonts w:eastAsia="Times New Roman" w:cs="Calibri"/>
                <w:color w:val="000000"/>
                <w:sz w:val="20"/>
                <w:szCs w:val="20"/>
                <w:lang w:eastAsia="cs-CZ"/>
              </w:rPr>
              <w:t>prvomaturantů</w:t>
            </w:r>
            <w:proofErr w:type="spellEnd"/>
            <w:r w:rsidRPr="00250A16">
              <w:rPr>
                <w:rFonts w:eastAsia="Times New Roman" w:cs="Calibri"/>
                <w:color w:val="000000"/>
                <w:sz w:val="20"/>
                <w:szCs w:val="20"/>
                <w:lang w:eastAsia="cs-CZ"/>
              </w:rPr>
              <w:t xml:space="preserve"> k celkovému počtu maturantů</w:t>
            </w:r>
          </w:p>
        </w:tc>
        <w:tc>
          <w:tcPr>
            <w:tcW w:w="646" w:type="pct"/>
            <w:tcBorders>
              <w:top w:val="single" w:sz="4" w:space="0" w:color="8ED973"/>
              <w:left w:val="nil"/>
              <w:bottom w:val="nil"/>
              <w:right w:val="nil"/>
            </w:tcBorders>
            <w:noWrap/>
            <w:hideMark/>
          </w:tcPr>
          <w:p w14:paraId="727732E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Výsledky vzdělávání</w:t>
            </w:r>
          </w:p>
        </w:tc>
        <w:tc>
          <w:tcPr>
            <w:tcW w:w="1192" w:type="pct"/>
            <w:gridSpan w:val="2"/>
            <w:tcBorders>
              <w:top w:val="single" w:sz="4" w:space="0" w:color="8ED973"/>
              <w:left w:val="nil"/>
              <w:bottom w:val="nil"/>
              <w:right w:val="nil"/>
            </w:tcBorders>
            <w:noWrap/>
            <w:hideMark/>
          </w:tcPr>
          <w:p w14:paraId="61E96D8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Maturitní zkouška</w:t>
            </w:r>
          </w:p>
        </w:tc>
        <w:tc>
          <w:tcPr>
            <w:tcW w:w="541" w:type="pct"/>
            <w:gridSpan w:val="2"/>
            <w:tcBorders>
              <w:top w:val="single" w:sz="4" w:space="0" w:color="8ED973"/>
              <w:left w:val="nil"/>
              <w:bottom w:val="nil"/>
              <w:right w:val="nil"/>
            </w:tcBorders>
            <w:noWrap/>
            <w:hideMark/>
          </w:tcPr>
          <w:p w14:paraId="531D017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1ACDBEA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2B4FF351" w14:textId="77777777" w:rsidTr="009574F4">
        <w:trPr>
          <w:trHeight w:val="290"/>
        </w:trPr>
        <w:tc>
          <w:tcPr>
            <w:tcW w:w="2381" w:type="pct"/>
            <w:tcBorders>
              <w:top w:val="single" w:sz="4" w:space="0" w:color="8ED973"/>
              <w:left w:val="single" w:sz="4" w:space="0" w:color="4EA72E"/>
              <w:bottom w:val="nil"/>
              <w:right w:val="nil"/>
            </w:tcBorders>
            <w:hideMark/>
          </w:tcPr>
          <w:p w14:paraId="61D207F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Průměrný výsledek žáků 4. tříd ZŠ v testech čtenářské dovednosti (PIRLS)</w:t>
            </w:r>
          </w:p>
        </w:tc>
        <w:tc>
          <w:tcPr>
            <w:tcW w:w="646" w:type="pct"/>
            <w:tcBorders>
              <w:top w:val="single" w:sz="4" w:space="0" w:color="8ED973"/>
              <w:left w:val="nil"/>
              <w:bottom w:val="nil"/>
              <w:right w:val="nil"/>
            </w:tcBorders>
            <w:noWrap/>
            <w:hideMark/>
          </w:tcPr>
          <w:p w14:paraId="5187E67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Výsledky vzdělávání</w:t>
            </w:r>
          </w:p>
        </w:tc>
        <w:tc>
          <w:tcPr>
            <w:tcW w:w="1192" w:type="pct"/>
            <w:gridSpan w:val="2"/>
            <w:tcBorders>
              <w:top w:val="single" w:sz="4" w:space="0" w:color="8ED973"/>
              <w:left w:val="nil"/>
              <w:bottom w:val="nil"/>
              <w:right w:val="nil"/>
            </w:tcBorders>
            <w:noWrap/>
            <w:hideMark/>
          </w:tcPr>
          <w:p w14:paraId="65A25B3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Mezinárodní šetření</w:t>
            </w:r>
          </w:p>
        </w:tc>
        <w:tc>
          <w:tcPr>
            <w:tcW w:w="541" w:type="pct"/>
            <w:gridSpan w:val="2"/>
            <w:tcBorders>
              <w:top w:val="single" w:sz="4" w:space="0" w:color="8ED973"/>
              <w:left w:val="nil"/>
              <w:bottom w:val="nil"/>
              <w:right w:val="nil"/>
            </w:tcBorders>
            <w:noWrap/>
            <w:hideMark/>
          </w:tcPr>
          <w:p w14:paraId="20925F51"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nil"/>
              <w:right w:val="single" w:sz="4" w:space="0" w:color="4EA72E"/>
            </w:tcBorders>
            <w:noWrap/>
            <w:hideMark/>
          </w:tcPr>
          <w:p w14:paraId="2A5F767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6955320E" w14:textId="77777777" w:rsidTr="009574F4">
        <w:trPr>
          <w:trHeight w:val="520"/>
        </w:trPr>
        <w:tc>
          <w:tcPr>
            <w:tcW w:w="2381" w:type="pct"/>
            <w:tcBorders>
              <w:top w:val="single" w:sz="4" w:space="0" w:color="8ED973"/>
              <w:left w:val="single" w:sz="4" w:space="0" w:color="4EA72E"/>
              <w:bottom w:val="nil"/>
              <w:right w:val="nil"/>
            </w:tcBorders>
            <w:hideMark/>
          </w:tcPr>
          <w:p w14:paraId="3536469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5. tříd ZŠ v českém jazyce v nejvyšší úrovni výsledků (1. úroveň)</w:t>
            </w:r>
          </w:p>
        </w:tc>
        <w:tc>
          <w:tcPr>
            <w:tcW w:w="646" w:type="pct"/>
            <w:tcBorders>
              <w:top w:val="single" w:sz="4" w:space="0" w:color="8ED973"/>
              <w:left w:val="nil"/>
              <w:bottom w:val="nil"/>
              <w:right w:val="nil"/>
            </w:tcBorders>
            <w:noWrap/>
            <w:hideMark/>
          </w:tcPr>
          <w:p w14:paraId="7E3ED25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Výsledky vzdělávání</w:t>
            </w:r>
          </w:p>
        </w:tc>
        <w:tc>
          <w:tcPr>
            <w:tcW w:w="1192" w:type="pct"/>
            <w:gridSpan w:val="2"/>
            <w:tcBorders>
              <w:top w:val="single" w:sz="4" w:space="0" w:color="8ED973"/>
              <w:left w:val="nil"/>
              <w:bottom w:val="nil"/>
              <w:right w:val="nil"/>
            </w:tcBorders>
            <w:noWrap/>
            <w:hideMark/>
          </w:tcPr>
          <w:p w14:paraId="4B192CE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Národní zjišťování</w:t>
            </w:r>
          </w:p>
        </w:tc>
        <w:tc>
          <w:tcPr>
            <w:tcW w:w="541" w:type="pct"/>
            <w:gridSpan w:val="2"/>
            <w:tcBorders>
              <w:top w:val="single" w:sz="4" w:space="0" w:color="8ED973"/>
              <w:left w:val="nil"/>
              <w:bottom w:val="nil"/>
              <w:right w:val="nil"/>
            </w:tcBorders>
            <w:noWrap/>
            <w:hideMark/>
          </w:tcPr>
          <w:p w14:paraId="1FDB673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nil"/>
              <w:right w:val="single" w:sz="4" w:space="0" w:color="4EA72E"/>
            </w:tcBorders>
            <w:noWrap/>
            <w:hideMark/>
          </w:tcPr>
          <w:p w14:paraId="3F137AA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213C1604" w14:textId="77777777" w:rsidTr="009574F4">
        <w:trPr>
          <w:trHeight w:val="290"/>
        </w:trPr>
        <w:tc>
          <w:tcPr>
            <w:tcW w:w="2381" w:type="pct"/>
            <w:tcBorders>
              <w:top w:val="single" w:sz="4" w:space="0" w:color="8ED973"/>
              <w:left w:val="single" w:sz="4" w:space="0" w:color="4EA72E"/>
              <w:bottom w:val="nil"/>
              <w:right w:val="nil"/>
            </w:tcBorders>
            <w:hideMark/>
          </w:tcPr>
          <w:p w14:paraId="046E37A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5. tříd ZŠ v matematice v nejvyšší úrovni výsledků (1. úroveň)</w:t>
            </w:r>
          </w:p>
        </w:tc>
        <w:tc>
          <w:tcPr>
            <w:tcW w:w="646" w:type="pct"/>
            <w:tcBorders>
              <w:top w:val="single" w:sz="4" w:space="0" w:color="8ED973"/>
              <w:left w:val="nil"/>
              <w:bottom w:val="nil"/>
              <w:right w:val="nil"/>
            </w:tcBorders>
            <w:noWrap/>
            <w:hideMark/>
          </w:tcPr>
          <w:p w14:paraId="135AB39A"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Výsledky vzdělávání</w:t>
            </w:r>
          </w:p>
        </w:tc>
        <w:tc>
          <w:tcPr>
            <w:tcW w:w="1192" w:type="pct"/>
            <w:gridSpan w:val="2"/>
            <w:tcBorders>
              <w:top w:val="single" w:sz="4" w:space="0" w:color="8ED973"/>
              <w:left w:val="nil"/>
              <w:bottom w:val="nil"/>
              <w:right w:val="nil"/>
            </w:tcBorders>
            <w:noWrap/>
            <w:hideMark/>
          </w:tcPr>
          <w:p w14:paraId="19A8E6E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Národní zjišťování</w:t>
            </w:r>
          </w:p>
        </w:tc>
        <w:tc>
          <w:tcPr>
            <w:tcW w:w="541" w:type="pct"/>
            <w:gridSpan w:val="2"/>
            <w:tcBorders>
              <w:top w:val="single" w:sz="4" w:space="0" w:color="8ED973"/>
              <w:left w:val="nil"/>
              <w:bottom w:val="nil"/>
              <w:right w:val="nil"/>
            </w:tcBorders>
            <w:noWrap/>
            <w:hideMark/>
          </w:tcPr>
          <w:p w14:paraId="7FAFCC9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nil"/>
              <w:right w:val="single" w:sz="4" w:space="0" w:color="4EA72E"/>
            </w:tcBorders>
            <w:noWrap/>
            <w:hideMark/>
          </w:tcPr>
          <w:p w14:paraId="16499DE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79816F04" w14:textId="77777777" w:rsidTr="009574F4">
        <w:trPr>
          <w:trHeight w:val="290"/>
        </w:trPr>
        <w:tc>
          <w:tcPr>
            <w:tcW w:w="2381" w:type="pct"/>
            <w:tcBorders>
              <w:top w:val="single" w:sz="4" w:space="0" w:color="8ED973"/>
              <w:left w:val="single" w:sz="4" w:space="0" w:color="4EA72E"/>
              <w:bottom w:val="nil"/>
              <w:right w:val="nil"/>
            </w:tcBorders>
            <w:hideMark/>
          </w:tcPr>
          <w:p w14:paraId="1925628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Počet počítačů (přístupných žákům) na 100 žáků SŠ</w:t>
            </w:r>
          </w:p>
        </w:tc>
        <w:tc>
          <w:tcPr>
            <w:tcW w:w="646" w:type="pct"/>
            <w:tcBorders>
              <w:top w:val="single" w:sz="4" w:space="0" w:color="8ED973"/>
              <w:left w:val="nil"/>
              <w:bottom w:val="nil"/>
              <w:right w:val="nil"/>
            </w:tcBorders>
            <w:noWrap/>
            <w:hideMark/>
          </w:tcPr>
          <w:p w14:paraId="4A41D56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Výuka</w:t>
            </w:r>
          </w:p>
        </w:tc>
        <w:tc>
          <w:tcPr>
            <w:tcW w:w="1192" w:type="pct"/>
            <w:gridSpan w:val="2"/>
            <w:tcBorders>
              <w:top w:val="single" w:sz="4" w:space="0" w:color="8ED973"/>
              <w:left w:val="nil"/>
              <w:bottom w:val="nil"/>
              <w:right w:val="nil"/>
            </w:tcBorders>
            <w:noWrap/>
            <w:hideMark/>
          </w:tcPr>
          <w:p w14:paraId="5AA4634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ICT</w:t>
            </w:r>
          </w:p>
        </w:tc>
        <w:tc>
          <w:tcPr>
            <w:tcW w:w="541" w:type="pct"/>
            <w:gridSpan w:val="2"/>
            <w:tcBorders>
              <w:top w:val="single" w:sz="4" w:space="0" w:color="8ED973"/>
              <w:left w:val="nil"/>
              <w:bottom w:val="nil"/>
              <w:right w:val="nil"/>
            </w:tcBorders>
            <w:noWrap/>
            <w:hideMark/>
          </w:tcPr>
          <w:p w14:paraId="6F82521E"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SŠ</w:t>
            </w:r>
          </w:p>
        </w:tc>
        <w:tc>
          <w:tcPr>
            <w:tcW w:w="240" w:type="pct"/>
            <w:tcBorders>
              <w:top w:val="single" w:sz="4" w:space="0" w:color="8ED973"/>
              <w:left w:val="nil"/>
              <w:bottom w:val="nil"/>
              <w:right w:val="single" w:sz="4" w:space="0" w:color="4EA72E"/>
            </w:tcBorders>
            <w:noWrap/>
            <w:hideMark/>
          </w:tcPr>
          <w:p w14:paraId="75953E3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14</w:t>
            </w:r>
          </w:p>
        </w:tc>
      </w:tr>
      <w:tr w:rsidR="0024586E" w:rsidRPr="00250A16" w14:paraId="0C5A2B7B" w14:textId="77777777" w:rsidTr="009574F4">
        <w:trPr>
          <w:trHeight w:val="290"/>
        </w:trPr>
        <w:tc>
          <w:tcPr>
            <w:tcW w:w="2381" w:type="pct"/>
            <w:tcBorders>
              <w:top w:val="single" w:sz="4" w:space="0" w:color="8ED973"/>
              <w:left w:val="single" w:sz="4" w:space="0" w:color="4EA72E"/>
              <w:bottom w:val="nil"/>
              <w:right w:val="nil"/>
            </w:tcBorders>
            <w:hideMark/>
          </w:tcPr>
          <w:p w14:paraId="758CE9F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Index šikany (PIRLS) - žáci 4. ročníků ZŠ</w:t>
            </w:r>
          </w:p>
        </w:tc>
        <w:tc>
          <w:tcPr>
            <w:tcW w:w="646" w:type="pct"/>
            <w:tcBorders>
              <w:top w:val="single" w:sz="4" w:space="0" w:color="8ED973"/>
              <w:left w:val="nil"/>
              <w:bottom w:val="nil"/>
              <w:right w:val="nil"/>
            </w:tcBorders>
            <w:noWrap/>
            <w:hideMark/>
          </w:tcPr>
          <w:p w14:paraId="39F83F6F"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Well-being</w:t>
            </w:r>
          </w:p>
        </w:tc>
        <w:tc>
          <w:tcPr>
            <w:tcW w:w="1192" w:type="pct"/>
            <w:gridSpan w:val="2"/>
            <w:tcBorders>
              <w:top w:val="single" w:sz="4" w:space="0" w:color="8ED973"/>
              <w:left w:val="nil"/>
              <w:bottom w:val="nil"/>
              <w:right w:val="nil"/>
            </w:tcBorders>
            <w:noWrap/>
            <w:hideMark/>
          </w:tcPr>
          <w:p w14:paraId="03A660AA"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Index šikany</w:t>
            </w:r>
          </w:p>
        </w:tc>
        <w:tc>
          <w:tcPr>
            <w:tcW w:w="541" w:type="pct"/>
            <w:gridSpan w:val="2"/>
            <w:tcBorders>
              <w:top w:val="single" w:sz="4" w:space="0" w:color="8ED973"/>
              <w:left w:val="nil"/>
              <w:bottom w:val="nil"/>
              <w:right w:val="nil"/>
            </w:tcBorders>
            <w:noWrap/>
            <w:hideMark/>
          </w:tcPr>
          <w:p w14:paraId="20D71D5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nil"/>
              <w:right w:val="single" w:sz="4" w:space="0" w:color="4EA72E"/>
            </w:tcBorders>
            <w:noWrap/>
            <w:hideMark/>
          </w:tcPr>
          <w:p w14:paraId="778D8CA9"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5134BFFD" w14:textId="77777777" w:rsidTr="009574F4">
        <w:trPr>
          <w:trHeight w:val="520"/>
        </w:trPr>
        <w:tc>
          <w:tcPr>
            <w:tcW w:w="2381" w:type="pct"/>
            <w:tcBorders>
              <w:top w:val="single" w:sz="4" w:space="0" w:color="8ED973"/>
              <w:left w:val="single" w:sz="4" w:space="0" w:color="4EA72E"/>
              <w:bottom w:val="nil"/>
              <w:right w:val="nil"/>
            </w:tcBorders>
            <w:hideMark/>
          </w:tcPr>
          <w:p w14:paraId="7A42B95D"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ZŠ s nedostatečnými výsledky v testech čtenářské gramotnosti (PISA)</w:t>
            </w:r>
          </w:p>
        </w:tc>
        <w:tc>
          <w:tcPr>
            <w:tcW w:w="646" w:type="pct"/>
            <w:tcBorders>
              <w:top w:val="single" w:sz="4" w:space="0" w:color="8ED973"/>
              <w:left w:val="nil"/>
              <w:bottom w:val="nil"/>
              <w:right w:val="nil"/>
            </w:tcBorders>
            <w:noWrap/>
            <w:hideMark/>
          </w:tcPr>
          <w:p w14:paraId="6CCE2104"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Nerovnosti</w:t>
            </w:r>
          </w:p>
        </w:tc>
        <w:tc>
          <w:tcPr>
            <w:tcW w:w="1192" w:type="pct"/>
            <w:gridSpan w:val="2"/>
            <w:tcBorders>
              <w:top w:val="single" w:sz="4" w:space="0" w:color="8ED973"/>
              <w:left w:val="nil"/>
              <w:bottom w:val="nil"/>
              <w:right w:val="nil"/>
            </w:tcBorders>
            <w:noWrap/>
            <w:hideMark/>
          </w:tcPr>
          <w:p w14:paraId="3AD57696"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Žáci v dovednostních úrovních</w:t>
            </w:r>
          </w:p>
        </w:tc>
        <w:tc>
          <w:tcPr>
            <w:tcW w:w="541" w:type="pct"/>
            <w:gridSpan w:val="2"/>
            <w:tcBorders>
              <w:top w:val="single" w:sz="4" w:space="0" w:color="8ED973"/>
              <w:left w:val="nil"/>
              <w:bottom w:val="nil"/>
              <w:right w:val="nil"/>
            </w:tcBorders>
            <w:noWrap/>
            <w:hideMark/>
          </w:tcPr>
          <w:p w14:paraId="2A333422"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 SŠ</w:t>
            </w:r>
          </w:p>
        </w:tc>
        <w:tc>
          <w:tcPr>
            <w:tcW w:w="240" w:type="pct"/>
            <w:tcBorders>
              <w:top w:val="single" w:sz="4" w:space="0" w:color="8ED973"/>
              <w:left w:val="nil"/>
              <w:bottom w:val="nil"/>
              <w:right w:val="single" w:sz="4" w:space="0" w:color="4EA72E"/>
            </w:tcBorders>
            <w:noWrap/>
            <w:hideMark/>
          </w:tcPr>
          <w:p w14:paraId="0963B57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4143FF3B" w14:textId="77777777" w:rsidTr="009574F4">
        <w:trPr>
          <w:trHeight w:val="520"/>
        </w:trPr>
        <w:tc>
          <w:tcPr>
            <w:tcW w:w="2381" w:type="pct"/>
            <w:tcBorders>
              <w:top w:val="single" w:sz="4" w:space="0" w:color="8ED973"/>
              <w:left w:val="single" w:sz="4" w:space="0" w:color="4EA72E"/>
              <w:bottom w:val="nil"/>
              <w:right w:val="nil"/>
            </w:tcBorders>
            <w:hideMark/>
          </w:tcPr>
          <w:p w14:paraId="6FB6242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ZŠ s excelentními výsledky v testech matematické gramotnosti (PISA)</w:t>
            </w:r>
          </w:p>
        </w:tc>
        <w:tc>
          <w:tcPr>
            <w:tcW w:w="646" w:type="pct"/>
            <w:tcBorders>
              <w:top w:val="single" w:sz="4" w:space="0" w:color="8ED973"/>
              <w:left w:val="nil"/>
              <w:bottom w:val="nil"/>
              <w:right w:val="nil"/>
            </w:tcBorders>
            <w:noWrap/>
            <w:hideMark/>
          </w:tcPr>
          <w:p w14:paraId="3994C9F3"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Nerovnosti</w:t>
            </w:r>
          </w:p>
        </w:tc>
        <w:tc>
          <w:tcPr>
            <w:tcW w:w="1192" w:type="pct"/>
            <w:gridSpan w:val="2"/>
            <w:tcBorders>
              <w:top w:val="single" w:sz="4" w:space="0" w:color="8ED973"/>
              <w:left w:val="nil"/>
              <w:bottom w:val="nil"/>
              <w:right w:val="nil"/>
            </w:tcBorders>
            <w:noWrap/>
            <w:hideMark/>
          </w:tcPr>
          <w:p w14:paraId="1C143F87"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Žáci v dovednostních úrovních</w:t>
            </w:r>
          </w:p>
        </w:tc>
        <w:tc>
          <w:tcPr>
            <w:tcW w:w="541" w:type="pct"/>
            <w:gridSpan w:val="2"/>
            <w:tcBorders>
              <w:top w:val="single" w:sz="4" w:space="0" w:color="8ED973"/>
              <w:left w:val="nil"/>
              <w:bottom w:val="nil"/>
              <w:right w:val="nil"/>
            </w:tcBorders>
            <w:noWrap/>
            <w:hideMark/>
          </w:tcPr>
          <w:p w14:paraId="4FD5E620"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 SŠ</w:t>
            </w:r>
          </w:p>
        </w:tc>
        <w:tc>
          <w:tcPr>
            <w:tcW w:w="240" w:type="pct"/>
            <w:tcBorders>
              <w:top w:val="single" w:sz="4" w:space="0" w:color="8ED973"/>
              <w:left w:val="nil"/>
              <w:bottom w:val="nil"/>
              <w:right w:val="single" w:sz="4" w:space="0" w:color="4EA72E"/>
            </w:tcBorders>
            <w:noWrap/>
            <w:hideMark/>
          </w:tcPr>
          <w:p w14:paraId="5BEA296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2</w:t>
            </w:r>
          </w:p>
        </w:tc>
      </w:tr>
      <w:tr w:rsidR="0024586E" w:rsidRPr="00250A16" w14:paraId="2A539B79" w14:textId="77777777" w:rsidTr="009574F4">
        <w:trPr>
          <w:trHeight w:val="520"/>
        </w:trPr>
        <w:tc>
          <w:tcPr>
            <w:tcW w:w="2381" w:type="pct"/>
            <w:tcBorders>
              <w:top w:val="single" w:sz="4" w:space="0" w:color="8ED973"/>
              <w:left w:val="single" w:sz="4" w:space="0" w:color="4EA72E"/>
              <w:bottom w:val="single" w:sz="4" w:space="0" w:color="4EA72E"/>
              <w:right w:val="nil"/>
            </w:tcBorders>
            <w:hideMark/>
          </w:tcPr>
          <w:p w14:paraId="68A362F5"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Podíl žáků 4. tříd ZŠ s nedostatečnými výsledky v testech čtenářských dovedností (PIRLS)</w:t>
            </w:r>
          </w:p>
        </w:tc>
        <w:tc>
          <w:tcPr>
            <w:tcW w:w="646" w:type="pct"/>
            <w:tcBorders>
              <w:top w:val="single" w:sz="4" w:space="0" w:color="8ED973"/>
              <w:left w:val="nil"/>
              <w:bottom w:val="single" w:sz="4" w:space="0" w:color="4EA72E"/>
              <w:right w:val="nil"/>
            </w:tcBorders>
            <w:noWrap/>
            <w:hideMark/>
          </w:tcPr>
          <w:p w14:paraId="5F1839C1"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Nerovnosti</w:t>
            </w:r>
          </w:p>
        </w:tc>
        <w:tc>
          <w:tcPr>
            <w:tcW w:w="1192" w:type="pct"/>
            <w:gridSpan w:val="2"/>
            <w:tcBorders>
              <w:top w:val="single" w:sz="4" w:space="0" w:color="8ED973"/>
              <w:left w:val="nil"/>
              <w:bottom w:val="single" w:sz="4" w:space="0" w:color="4EA72E"/>
              <w:right w:val="nil"/>
            </w:tcBorders>
            <w:noWrap/>
            <w:hideMark/>
          </w:tcPr>
          <w:p w14:paraId="3F6C7868"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Žáci v dovednostních úrovních</w:t>
            </w:r>
          </w:p>
        </w:tc>
        <w:tc>
          <w:tcPr>
            <w:tcW w:w="541" w:type="pct"/>
            <w:gridSpan w:val="2"/>
            <w:tcBorders>
              <w:top w:val="single" w:sz="4" w:space="0" w:color="8ED973"/>
              <w:left w:val="nil"/>
              <w:bottom w:val="single" w:sz="4" w:space="0" w:color="4EA72E"/>
              <w:right w:val="nil"/>
            </w:tcBorders>
            <w:noWrap/>
            <w:hideMark/>
          </w:tcPr>
          <w:p w14:paraId="3F53F8B6"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ZŠ</w:t>
            </w:r>
          </w:p>
        </w:tc>
        <w:tc>
          <w:tcPr>
            <w:tcW w:w="240" w:type="pct"/>
            <w:tcBorders>
              <w:top w:val="single" w:sz="4" w:space="0" w:color="8ED973"/>
              <w:left w:val="nil"/>
              <w:bottom w:val="single" w:sz="4" w:space="0" w:color="4EA72E"/>
              <w:right w:val="single" w:sz="4" w:space="0" w:color="4EA72E"/>
            </w:tcBorders>
            <w:noWrap/>
            <w:hideMark/>
          </w:tcPr>
          <w:p w14:paraId="13792A2C" w14:textId="77777777" w:rsidR="0024586E" w:rsidRPr="00250A16" w:rsidRDefault="0024586E" w:rsidP="009574F4">
            <w:pPr>
              <w:spacing w:after="0"/>
              <w:rPr>
                <w:rFonts w:eastAsia="Times New Roman" w:cs="Calibri"/>
                <w:color w:val="000000"/>
                <w:sz w:val="20"/>
                <w:szCs w:val="20"/>
                <w:lang w:eastAsia="cs-CZ"/>
              </w:rPr>
            </w:pPr>
            <w:r w:rsidRPr="00250A16">
              <w:rPr>
                <w:rFonts w:eastAsia="Times New Roman" w:cs="Calibri"/>
                <w:color w:val="000000"/>
                <w:sz w:val="20"/>
                <w:szCs w:val="20"/>
                <w:lang w:eastAsia="cs-CZ"/>
              </w:rPr>
              <w:t>13</w:t>
            </w:r>
          </w:p>
        </w:tc>
      </w:tr>
    </w:tbl>
    <w:p w14:paraId="6480415A" w14:textId="77777777" w:rsidR="0024586E" w:rsidRDefault="0024586E" w:rsidP="0024586E">
      <w:pPr>
        <w:spacing w:line="276" w:lineRule="auto"/>
        <w:rPr>
          <w:b/>
          <w:bCs/>
        </w:rPr>
      </w:pPr>
    </w:p>
    <w:p w14:paraId="27581614" w14:textId="77777777" w:rsidR="0024586E" w:rsidRDefault="0024586E" w:rsidP="0024586E">
      <w:pPr>
        <w:pStyle w:val="Bezmezer"/>
      </w:pPr>
    </w:p>
    <w:p w14:paraId="5F8D80C2" w14:textId="77777777" w:rsidR="00400FE9" w:rsidRDefault="00400FE9">
      <w:pPr>
        <w:spacing w:line="276" w:lineRule="auto"/>
        <w:rPr>
          <w:rFonts w:eastAsiaTheme="majorEastAsia" w:cstheme="majorBidi"/>
          <w:b/>
          <w:color w:val="4C4C4C"/>
          <w:sz w:val="24"/>
          <w:szCs w:val="23"/>
        </w:rPr>
      </w:pPr>
      <w:r>
        <w:br w:type="page"/>
      </w:r>
    </w:p>
    <w:p w14:paraId="7953C4D2" w14:textId="237F23CF" w:rsidR="0024586E" w:rsidRDefault="0024586E" w:rsidP="0024586E">
      <w:pPr>
        <w:pStyle w:val="Nadpis4"/>
        <w:rPr>
          <w:b w:val="0"/>
        </w:rPr>
      </w:pPr>
      <w:r>
        <w:lastRenderedPageBreak/>
        <w:t>Olomoucký kraj</w:t>
      </w:r>
    </w:p>
    <w:p w14:paraId="1DB2980A" w14:textId="77777777" w:rsidR="0024586E" w:rsidRDefault="0024586E" w:rsidP="0024586E">
      <w:pPr>
        <w:pStyle w:val="Odstavecseseznamem"/>
        <w:ind w:left="0"/>
        <w:jc w:val="both"/>
      </w:pPr>
      <w:r>
        <w:t>Pro Olomoucký kraj je v porovnání s ostatními regiony typický vysoký počet úvazků asistentů pedagoga ve všech typech škol (ZŠ, SŠ, MŠ) a vyšší průměrné platy nepedagogických pracovníků v MŠ, ZŠ i SŠ. Z indikátorů je patrný nízký počet učitelů vůči počtu žáků v běžných ZŠ a SŠ a nízký podíl nekvalifikovaných učitelů na 2. stupni ZŠ. Dále je v kraji vysoký podíl odkladů povinné školní docházky, vysoký podíl dětí ve věku 4 a 6 let navštěvujících MŠ a vysoký podíl žáků 1. stupně ZŠ docházejících do školní družiny. Z indikátorů dále vyplývá nízký podíl žáků-cizinců v ZŠ, MŠ a SŠ a vysoký podíl žáků opakujících ročník v nematuritních oborech SŠ a také nízký pocit sounáležitosti žáků 4. a 8. ročníků se školou.</w:t>
      </w:r>
    </w:p>
    <w:tbl>
      <w:tblPr>
        <w:tblW w:w="5000" w:type="pct"/>
        <w:tblCellMar>
          <w:left w:w="70" w:type="dxa"/>
          <w:right w:w="70" w:type="dxa"/>
        </w:tblCellMar>
        <w:tblLook w:val="04A0" w:firstRow="1" w:lastRow="0" w:firstColumn="1" w:lastColumn="0" w:noHBand="0" w:noVBand="1"/>
      </w:tblPr>
      <w:tblGrid>
        <w:gridCol w:w="6790"/>
        <w:gridCol w:w="1853"/>
        <w:gridCol w:w="3492"/>
        <w:gridCol w:w="1459"/>
        <w:gridCol w:w="682"/>
      </w:tblGrid>
      <w:tr w:rsidR="0024586E" w:rsidRPr="00926508" w14:paraId="138DDC33" w14:textId="77777777" w:rsidTr="009A58B0">
        <w:trPr>
          <w:trHeight w:val="290"/>
          <w:tblHeader/>
        </w:trPr>
        <w:tc>
          <w:tcPr>
            <w:tcW w:w="2378" w:type="pct"/>
            <w:tcBorders>
              <w:top w:val="single" w:sz="4" w:space="0" w:color="8ED973"/>
              <w:left w:val="single" w:sz="4" w:space="0" w:color="4EA72E"/>
              <w:bottom w:val="nil"/>
              <w:right w:val="nil"/>
            </w:tcBorders>
            <w:shd w:val="clear" w:color="4EA72E" w:fill="4EA72E"/>
            <w:vAlign w:val="bottom"/>
            <w:hideMark/>
          </w:tcPr>
          <w:p w14:paraId="677F72E6" w14:textId="77777777" w:rsidR="0024586E" w:rsidRPr="00926508" w:rsidRDefault="0024586E" w:rsidP="009574F4">
            <w:pPr>
              <w:spacing w:after="0"/>
              <w:rPr>
                <w:rFonts w:eastAsia="Times New Roman" w:cs="Calibri"/>
                <w:b/>
                <w:bCs/>
                <w:color w:val="FFFFFF"/>
                <w:sz w:val="20"/>
                <w:szCs w:val="20"/>
                <w:lang w:eastAsia="cs-CZ"/>
              </w:rPr>
            </w:pPr>
            <w:r w:rsidRPr="00926508">
              <w:rPr>
                <w:rFonts w:eastAsia="Times New Roman" w:cs="Calibri"/>
                <w:b/>
                <w:bCs/>
                <w:color w:val="FFFFFF"/>
                <w:sz w:val="20"/>
                <w:szCs w:val="20"/>
                <w:lang w:eastAsia="cs-CZ"/>
              </w:rPr>
              <w:t>Název údaje</w:t>
            </w:r>
          </w:p>
        </w:tc>
        <w:tc>
          <w:tcPr>
            <w:tcW w:w="649" w:type="pct"/>
            <w:tcBorders>
              <w:top w:val="single" w:sz="4" w:space="0" w:color="8ED973"/>
              <w:left w:val="nil"/>
              <w:bottom w:val="nil"/>
              <w:right w:val="nil"/>
            </w:tcBorders>
            <w:shd w:val="clear" w:color="4EA72E" w:fill="4EA72E"/>
            <w:noWrap/>
            <w:vAlign w:val="bottom"/>
            <w:hideMark/>
          </w:tcPr>
          <w:p w14:paraId="1F67D565" w14:textId="77777777" w:rsidR="0024586E" w:rsidRPr="00926508" w:rsidRDefault="0024586E" w:rsidP="009574F4">
            <w:pPr>
              <w:spacing w:after="0"/>
              <w:rPr>
                <w:rFonts w:eastAsia="Times New Roman" w:cs="Calibri"/>
                <w:b/>
                <w:bCs/>
                <w:color w:val="FFFFFF"/>
                <w:sz w:val="20"/>
                <w:szCs w:val="20"/>
                <w:lang w:eastAsia="cs-CZ"/>
              </w:rPr>
            </w:pPr>
            <w:r w:rsidRPr="00926508">
              <w:rPr>
                <w:rFonts w:eastAsia="Times New Roman" w:cs="Calibri"/>
                <w:b/>
                <w:bCs/>
                <w:color w:val="FFFFFF"/>
                <w:sz w:val="20"/>
                <w:szCs w:val="20"/>
                <w:lang w:eastAsia="cs-CZ"/>
              </w:rPr>
              <w:t>Oblast</w:t>
            </w:r>
          </w:p>
        </w:tc>
        <w:tc>
          <w:tcPr>
            <w:tcW w:w="1223" w:type="pct"/>
            <w:tcBorders>
              <w:top w:val="single" w:sz="4" w:space="0" w:color="8ED973"/>
              <w:left w:val="nil"/>
              <w:bottom w:val="nil"/>
              <w:right w:val="nil"/>
            </w:tcBorders>
            <w:shd w:val="clear" w:color="4EA72E" w:fill="4EA72E"/>
            <w:noWrap/>
            <w:vAlign w:val="bottom"/>
            <w:hideMark/>
          </w:tcPr>
          <w:p w14:paraId="6D72567C" w14:textId="77777777" w:rsidR="0024586E" w:rsidRPr="00926508" w:rsidRDefault="0024586E" w:rsidP="009574F4">
            <w:pPr>
              <w:spacing w:after="0"/>
              <w:rPr>
                <w:rFonts w:eastAsia="Times New Roman" w:cs="Calibri"/>
                <w:b/>
                <w:bCs/>
                <w:color w:val="FFFFFF"/>
                <w:sz w:val="20"/>
                <w:szCs w:val="20"/>
                <w:lang w:eastAsia="cs-CZ"/>
              </w:rPr>
            </w:pPr>
            <w:r w:rsidRPr="00926508">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566CC83C" w14:textId="77777777" w:rsidR="0024586E" w:rsidRPr="00926508" w:rsidRDefault="0024586E" w:rsidP="009574F4">
            <w:pPr>
              <w:spacing w:after="0"/>
              <w:rPr>
                <w:rFonts w:eastAsia="Times New Roman" w:cs="Calibri"/>
                <w:b/>
                <w:bCs/>
                <w:color w:val="FFFFFF"/>
                <w:sz w:val="20"/>
                <w:szCs w:val="20"/>
                <w:lang w:eastAsia="cs-CZ"/>
              </w:rPr>
            </w:pPr>
            <w:r w:rsidRPr="00926508">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264A82EF" w14:textId="77777777" w:rsidR="0024586E" w:rsidRPr="00926508" w:rsidRDefault="0024586E" w:rsidP="009574F4">
            <w:pPr>
              <w:spacing w:after="0"/>
              <w:rPr>
                <w:rFonts w:eastAsia="Times New Roman" w:cs="Calibri"/>
                <w:b/>
                <w:bCs/>
                <w:color w:val="FFFFFF"/>
                <w:sz w:val="20"/>
                <w:szCs w:val="20"/>
                <w:lang w:eastAsia="cs-CZ"/>
              </w:rPr>
            </w:pPr>
            <w:r w:rsidRPr="00926508">
              <w:rPr>
                <w:rFonts w:eastAsia="Times New Roman" w:cs="Calibri"/>
                <w:b/>
                <w:bCs/>
                <w:color w:val="FFFFFF"/>
                <w:sz w:val="20"/>
                <w:szCs w:val="20"/>
                <w:lang w:eastAsia="cs-CZ"/>
              </w:rPr>
              <w:t>Pořadí</w:t>
            </w:r>
          </w:p>
        </w:tc>
      </w:tr>
      <w:tr w:rsidR="0024586E" w:rsidRPr="00926508" w14:paraId="4EA1AB65" w14:textId="77777777" w:rsidTr="009A58B0">
        <w:trPr>
          <w:trHeight w:val="290"/>
        </w:trPr>
        <w:tc>
          <w:tcPr>
            <w:tcW w:w="2378" w:type="pct"/>
            <w:tcBorders>
              <w:top w:val="single" w:sz="4" w:space="0" w:color="8ED973"/>
              <w:left w:val="single" w:sz="4" w:space="0" w:color="4EA72E"/>
              <w:bottom w:val="nil"/>
              <w:right w:val="nil"/>
            </w:tcBorders>
            <w:hideMark/>
          </w:tcPr>
          <w:p w14:paraId="44454E0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úvazků asistenta pedagoga v ZŠ na 10 tis. žáků</w:t>
            </w:r>
          </w:p>
        </w:tc>
        <w:tc>
          <w:tcPr>
            <w:tcW w:w="649" w:type="pct"/>
            <w:tcBorders>
              <w:top w:val="single" w:sz="4" w:space="0" w:color="8ED973"/>
              <w:left w:val="nil"/>
              <w:bottom w:val="nil"/>
              <w:right w:val="nil"/>
            </w:tcBorders>
            <w:noWrap/>
            <w:hideMark/>
          </w:tcPr>
          <w:p w14:paraId="31CFDAB5"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0E061C03"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1B6D52C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C0DF5F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77F5BB02" w14:textId="77777777" w:rsidTr="009A58B0">
        <w:trPr>
          <w:trHeight w:val="290"/>
        </w:trPr>
        <w:tc>
          <w:tcPr>
            <w:tcW w:w="2378" w:type="pct"/>
            <w:tcBorders>
              <w:top w:val="single" w:sz="4" w:space="0" w:color="8ED973"/>
              <w:left w:val="single" w:sz="4" w:space="0" w:color="4EA72E"/>
              <w:bottom w:val="nil"/>
              <w:right w:val="nil"/>
            </w:tcBorders>
            <w:hideMark/>
          </w:tcPr>
          <w:p w14:paraId="2B39110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úvazků asistenta pedagoga v SŠ na 10 tis. žáků</w:t>
            </w:r>
          </w:p>
        </w:tc>
        <w:tc>
          <w:tcPr>
            <w:tcW w:w="649" w:type="pct"/>
            <w:tcBorders>
              <w:top w:val="single" w:sz="4" w:space="0" w:color="8ED973"/>
              <w:left w:val="nil"/>
              <w:bottom w:val="nil"/>
              <w:right w:val="nil"/>
            </w:tcBorders>
            <w:noWrap/>
            <w:hideMark/>
          </w:tcPr>
          <w:p w14:paraId="474F942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52F4A9F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0F2928D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3911B91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7C13C4F4" w14:textId="77777777" w:rsidTr="009A58B0">
        <w:trPr>
          <w:trHeight w:val="290"/>
        </w:trPr>
        <w:tc>
          <w:tcPr>
            <w:tcW w:w="2378" w:type="pct"/>
            <w:tcBorders>
              <w:top w:val="single" w:sz="4" w:space="0" w:color="8ED973"/>
              <w:left w:val="single" w:sz="4" w:space="0" w:color="4EA72E"/>
              <w:bottom w:val="nil"/>
              <w:right w:val="nil"/>
            </w:tcBorders>
            <w:hideMark/>
          </w:tcPr>
          <w:p w14:paraId="291422E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úvazků asistenta pedagoga v MŠ na 10 tis. dětí</w:t>
            </w:r>
          </w:p>
        </w:tc>
        <w:tc>
          <w:tcPr>
            <w:tcW w:w="649" w:type="pct"/>
            <w:tcBorders>
              <w:top w:val="single" w:sz="4" w:space="0" w:color="8ED973"/>
              <w:left w:val="nil"/>
              <w:bottom w:val="nil"/>
              <w:right w:val="nil"/>
            </w:tcBorders>
            <w:noWrap/>
            <w:hideMark/>
          </w:tcPr>
          <w:p w14:paraId="048BD66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03AD092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20441D6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702950F5"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78C101EE" w14:textId="77777777" w:rsidTr="009A58B0">
        <w:trPr>
          <w:trHeight w:val="520"/>
        </w:trPr>
        <w:tc>
          <w:tcPr>
            <w:tcW w:w="2378" w:type="pct"/>
            <w:tcBorders>
              <w:top w:val="single" w:sz="4" w:space="0" w:color="8ED973"/>
              <w:left w:val="single" w:sz="4" w:space="0" w:color="4EA72E"/>
              <w:bottom w:val="nil"/>
              <w:right w:val="nil"/>
            </w:tcBorders>
            <w:hideMark/>
          </w:tcPr>
          <w:p w14:paraId="1D77D1E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Průměrný plat skupiny nepedagogických pracovníků MŠ k průměrné mzdě</w:t>
            </w:r>
          </w:p>
        </w:tc>
        <w:tc>
          <w:tcPr>
            <w:tcW w:w="649" w:type="pct"/>
            <w:tcBorders>
              <w:top w:val="single" w:sz="4" w:space="0" w:color="8ED973"/>
              <w:left w:val="nil"/>
              <w:bottom w:val="nil"/>
              <w:right w:val="nil"/>
            </w:tcBorders>
            <w:noWrap/>
            <w:hideMark/>
          </w:tcPr>
          <w:p w14:paraId="18BB8DB7"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6E386B5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Nepedagogické profese</w:t>
            </w:r>
          </w:p>
        </w:tc>
        <w:tc>
          <w:tcPr>
            <w:tcW w:w="511" w:type="pct"/>
            <w:tcBorders>
              <w:top w:val="single" w:sz="4" w:space="0" w:color="8ED973"/>
              <w:left w:val="nil"/>
              <w:bottom w:val="nil"/>
              <w:right w:val="nil"/>
            </w:tcBorders>
            <w:noWrap/>
            <w:hideMark/>
          </w:tcPr>
          <w:p w14:paraId="0579C0F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AED9D87"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2EC850F2" w14:textId="77777777" w:rsidTr="009A58B0">
        <w:trPr>
          <w:trHeight w:val="520"/>
        </w:trPr>
        <w:tc>
          <w:tcPr>
            <w:tcW w:w="2378" w:type="pct"/>
            <w:tcBorders>
              <w:top w:val="single" w:sz="4" w:space="0" w:color="8ED973"/>
              <w:left w:val="single" w:sz="4" w:space="0" w:color="4EA72E"/>
              <w:bottom w:val="nil"/>
              <w:right w:val="nil"/>
            </w:tcBorders>
            <w:hideMark/>
          </w:tcPr>
          <w:p w14:paraId="1F74090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Průměrný plat skupiny nepedagogických pracovníků v ZŠ k průměrné mzdě</w:t>
            </w:r>
          </w:p>
        </w:tc>
        <w:tc>
          <w:tcPr>
            <w:tcW w:w="649" w:type="pct"/>
            <w:tcBorders>
              <w:top w:val="single" w:sz="4" w:space="0" w:color="8ED973"/>
              <w:left w:val="nil"/>
              <w:bottom w:val="nil"/>
              <w:right w:val="nil"/>
            </w:tcBorders>
            <w:noWrap/>
            <w:hideMark/>
          </w:tcPr>
          <w:p w14:paraId="418A942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7C63654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Nepedagogické profese</w:t>
            </w:r>
          </w:p>
        </w:tc>
        <w:tc>
          <w:tcPr>
            <w:tcW w:w="511" w:type="pct"/>
            <w:tcBorders>
              <w:top w:val="single" w:sz="4" w:space="0" w:color="8ED973"/>
              <w:left w:val="nil"/>
              <w:bottom w:val="nil"/>
              <w:right w:val="nil"/>
            </w:tcBorders>
            <w:noWrap/>
            <w:hideMark/>
          </w:tcPr>
          <w:p w14:paraId="0C303F77"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1FF6B6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71622A8F" w14:textId="77777777" w:rsidTr="009A58B0">
        <w:trPr>
          <w:trHeight w:val="290"/>
        </w:trPr>
        <w:tc>
          <w:tcPr>
            <w:tcW w:w="2378" w:type="pct"/>
            <w:tcBorders>
              <w:top w:val="single" w:sz="4" w:space="0" w:color="8ED973"/>
              <w:left w:val="single" w:sz="4" w:space="0" w:color="4EA72E"/>
              <w:bottom w:val="nil"/>
              <w:right w:val="nil"/>
            </w:tcBorders>
            <w:hideMark/>
          </w:tcPr>
          <w:p w14:paraId="55D6176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Průměrný plat skupiny nepedagogických pracovníků SŠ k průměrné mzdě</w:t>
            </w:r>
          </w:p>
        </w:tc>
        <w:tc>
          <w:tcPr>
            <w:tcW w:w="649" w:type="pct"/>
            <w:tcBorders>
              <w:top w:val="single" w:sz="4" w:space="0" w:color="8ED973"/>
              <w:left w:val="nil"/>
              <w:bottom w:val="nil"/>
              <w:right w:val="nil"/>
            </w:tcBorders>
            <w:noWrap/>
            <w:hideMark/>
          </w:tcPr>
          <w:p w14:paraId="114D7D5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64CDB2F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Nepedagogické profese</w:t>
            </w:r>
          </w:p>
        </w:tc>
        <w:tc>
          <w:tcPr>
            <w:tcW w:w="511" w:type="pct"/>
            <w:tcBorders>
              <w:top w:val="single" w:sz="4" w:space="0" w:color="8ED973"/>
              <w:left w:val="nil"/>
              <w:bottom w:val="nil"/>
              <w:right w:val="nil"/>
            </w:tcBorders>
            <w:noWrap/>
            <w:hideMark/>
          </w:tcPr>
          <w:p w14:paraId="42588BF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9FD9C4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0CE06212" w14:textId="77777777" w:rsidTr="009A58B0">
        <w:trPr>
          <w:trHeight w:val="290"/>
        </w:trPr>
        <w:tc>
          <w:tcPr>
            <w:tcW w:w="2378" w:type="pct"/>
            <w:tcBorders>
              <w:top w:val="single" w:sz="4" w:space="0" w:color="8ED973"/>
              <w:left w:val="single" w:sz="4" w:space="0" w:color="4EA72E"/>
              <w:bottom w:val="nil"/>
              <w:right w:val="nil"/>
            </w:tcBorders>
            <w:hideMark/>
          </w:tcPr>
          <w:p w14:paraId="5E07A21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žáků na učitele v ZŠ běžných zřizovaných obcí</w:t>
            </w:r>
          </w:p>
        </w:tc>
        <w:tc>
          <w:tcPr>
            <w:tcW w:w="649" w:type="pct"/>
            <w:tcBorders>
              <w:top w:val="single" w:sz="4" w:space="0" w:color="8ED973"/>
              <w:left w:val="nil"/>
              <w:bottom w:val="nil"/>
              <w:right w:val="nil"/>
            </w:tcBorders>
            <w:noWrap/>
            <w:hideMark/>
          </w:tcPr>
          <w:p w14:paraId="65E1323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0B50C2E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3452A82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208F65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13</w:t>
            </w:r>
          </w:p>
        </w:tc>
      </w:tr>
      <w:tr w:rsidR="0024586E" w:rsidRPr="00926508" w14:paraId="27453F38" w14:textId="77777777" w:rsidTr="009A58B0">
        <w:trPr>
          <w:trHeight w:val="290"/>
        </w:trPr>
        <w:tc>
          <w:tcPr>
            <w:tcW w:w="2378" w:type="pct"/>
            <w:tcBorders>
              <w:top w:val="single" w:sz="4" w:space="0" w:color="8ED973"/>
              <w:left w:val="single" w:sz="4" w:space="0" w:color="4EA72E"/>
              <w:bottom w:val="nil"/>
              <w:right w:val="nil"/>
            </w:tcBorders>
            <w:hideMark/>
          </w:tcPr>
          <w:p w14:paraId="171F11E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nekvalifikovaných učitelů 2. st. ZŠ</w:t>
            </w:r>
          </w:p>
        </w:tc>
        <w:tc>
          <w:tcPr>
            <w:tcW w:w="649" w:type="pct"/>
            <w:tcBorders>
              <w:top w:val="single" w:sz="4" w:space="0" w:color="8ED973"/>
              <w:left w:val="nil"/>
              <w:bottom w:val="nil"/>
              <w:right w:val="nil"/>
            </w:tcBorders>
            <w:noWrap/>
            <w:hideMark/>
          </w:tcPr>
          <w:p w14:paraId="1DFF6C3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6AE75FE1"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49563C2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C4DFF3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13</w:t>
            </w:r>
          </w:p>
        </w:tc>
      </w:tr>
      <w:tr w:rsidR="0024586E" w:rsidRPr="00926508" w14:paraId="4CA837AE" w14:textId="77777777" w:rsidTr="009A58B0">
        <w:trPr>
          <w:trHeight w:val="290"/>
        </w:trPr>
        <w:tc>
          <w:tcPr>
            <w:tcW w:w="2378" w:type="pct"/>
            <w:tcBorders>
              <w:top w:val="single" w:sz="4" w:space="0" w:color="8ED973"/>
              <w:left w:val="single" w:sz="4" w:space="0" w:color="4EA72E"/>
              <w:bottom w:val="nil"/>
              <w:right w:val="nil"/>
            </w:tcBorders>
            <w:hideMark/>
          </w:tcPr>
          <w:p w14:paraId="2697177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žáků na učitele v SŠ běžných zřizovaných krajem</w:t>
            </w:r>
          </w:p>
        </w:tc>
        <w:tc>
          <w:tcPr>
            <w:tcW w:w="649" w:type="pct"/>
            <w:tcBorders>
              <w:top w:val="single" w:sz="4" w:space="0" w:color="8ED973"/>
              <w:left w:val="nil"/>
              <w:bottom w:val="nil"/>
              <w:right w:val="nil"/>
            </w:tcBorders>
            <w:noWrap/>
            <w:hideMark/>
          </w:tcPr>
          <w:p w14:paraId="0D6B2A9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Pracovníci ve školství</w:t>
            </w:r>
          </w:p>
        </w:tc>
        <w:tc>
          <w:tcPr>
            <w:tcW w:w="1223" w:type="pct"/>
            <w:tcBorders>
              <w:top w:val="single" w:sz="4" w:space="0" w:color="8ED973"/>
              <w:left w:val="nil"/>
              <w:bottom w:val="nil"/>
              <w:right w:val="nil"/>
            </w:tcBorders>
            <w:noWrap/>
            <w:hideMark/>
          </w:tcPr>
          <w:p w14:paraId="634C87F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0A09DF29"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37C2F11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14</w:t>
            </w:r>
          </w:p>
        </w:tc>
      </w:tr>
      <w:tr w:rsidR="0024586E" w:rsidRPr="00926508" w14:paraId="0379014F" w14:textId="77777777" w:rsidTr="009A58B0">
        <w:trPr>
          <w:trHeight w:val="290"/>
        </w:trPr>
        <w:tc>
          <w:tcPr>
            <w:tcW w:w="2378" w:type="pct"/>
            <w:tcBorders>
              <w:top w:val="single" w:sz="4" w:space="0" w:color="8ED973"/>
              <w:left w:val="single" w:sz="4" w:space="0" w:color="4EA72E"/>
              <w:bottom w:val="nil"/>
              <w:right w:val="nil"/>
            </w:tcBorders>
            <w:hideMark/>
          </w:tcPr>
          <w:p w14:paraId="6C6CE1C1"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MŠ zřizovaných dobrovolným svazkem obcí</w:t>
            </w:r>
          </w:p>
        </w:tc>
        <w:tc>
          <w:tcPr>
            <w:tcW w:w="649" w:type="pct"/>
            <w:tcBorders>
              <w:top w:val="single" w:sz="4" w:space="0" w:color="8ED973"/>
              <w:left w:val="nil"/>
              <w:bottom w:val="nil"/>
              <w:right w:val="nil"/>
            </w:tcBorders>
            <w:noWrap/>
            <w:hideMark/>
          </w:tcPr>
          <w:p w14:paraId="281D974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Školy a zřizovatelé</w:t>
            </w:r>
          </w:p>
        </w:tc>
        <w:tc>
          <w:tcPr>
            <w:tcW w:w="1223" w:type="pct"/>
            <w:tcBorders>
              <w:top w:val="single" w:sz="4" w:space="0" w:color="8ED973"/>
              <w:left w:val="nil"/>
              <w:bottom w:val="nil"/>
              <w:right w:val="nil"/>
            </w:tcBorders>
            <w:noWrap/>
            <w:hideMark/>
          </w:tcPr>
          <w:p w14:paraId="1240996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534A5A9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681251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47FE6E88" w14:textId="77777777" w:rsidTr="009A58B0">
        <w:trPr>
          <w:trHeight w:val="290"/>
        </w:trPr>
        <w:tc>
          <w:tcPr>
            <w:tcW w:w="2378" w:type="pct"/>
            <w:tcBorders>
              <w:top w:val="single" w:sz="4" w:space="0" w:color="8ED973"/>
              <w:left w:val="single" w:sz="4" w:space="0" w:color="4EA72E"/>
              <w:bottom w:val="nil"/>
              <w:right w:val="nil"/>
            </w:tcBorders>
            <w:hideMark/>
          </w:tcPr>
          <w:p w14:paraId="5433E347"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Počet ZŠ zřizovaných dobrovolným svazkem obcí</w:t>
            </w:r>
          </w:p>
        </w:tc>
        <w:tc>
          <w:tcPr>
            <w:tcW w:w="649" w:type="pct"/>
            <w:tcBorders>
              <w:top w:val="single" w:sz="4" w:space="0" w:color="8ED973"/>
              <w:left w:val="nil"/>
              <w:bottom w:val="nil"/>
              <w:right w:val="nil"/>
            </w:tcBorders>
            <w:noWrap/>
            <w:hideMark/>
          </w:tcPr>
          <w:p w14:paraId="65A301B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Školy a zřizovatelé</w:t>
            </w:r>
          </w:p>
        </w:tc>
        <w:tc>
          <w:tcPr>
            <w:tcW w:w="1223" w:type="pct"/>
            <w:tcBorders>
              <w:top w:val="single" w:sz="4" w:space="0" w:color="8ED973"/>
              <w:left w:val="nil"/>
              <w:bottom w:val="nil"/>
              <w:right w:val="nil"/>
            </w:tcBorders>
            <w:noWrap/>
            <w:hideMark/>
          </w:tcPr>
          <w:p w14:paraId="3986C5E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Zřizovatelé</w:t>
            </w:r>
          </w:p>
        </w:tc>
        <w:tc>
          <w:tcPr>
            <w:tcW w:w="511" w:type="pct"/>
            <w:tcBorders>
              <w:top w:val="single" w:sz="4" w:space="0" w:color="8ED973"/>
              <w:left w:val="nil"/>
              <w:bottom w:val="nil"/>
              <w:right w:val="nil"/>
            </w:tcBorders>
            <w:noWrap/>
            <w:hideMark/>
          </w:tcPr>
          <w:p w14:paraId="02629CF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C2B664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679B7BA2" w14:textId="77777777" w:rsidTr="009A58B0">
        <w:trPr>
          <w:trHeight w:val="520"/>
        </w:trPr>
        <w:tc>
          <w:tcPr>
            <w:tcW w:w="2378" w:type="pct"/>
            <w:tcBorders>
              <w:top w:val="single" w:sz="4" w:space="0" w:color="8ED973"/>
              <w:left w:val="single" w:sz="4" w:space="0" w:color="4EA72E"/>
              <w:bottom w:val="nil"/>
              <w:right w:val="nil"/>
            </w:tcBorders>
            <w:hideMark/>
          </w:tcPr>
          <w:p w14:paraId="06E33A9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absolventů středního vzdělávání v oborech bez výučního listu a maturity v</w:t>
            </w:r>
            <w:r>
              <w:rPr>
                <w:rFonts w:eastAsia="Times New Roman" w:cs="Calibri"/>
                <w:color w:val="000000"/>
                <w:sz w:val="20"/>
                <w:szCs w:val="20"/>
                <w:lang w:eastAsia="cs-CZ"/>
              </w:rPr>
              <w:t> </w:t>
            </w:r>
            <w:r w:rsidRPr="00926508">
              <w:rPr>
                <w:rFonts w:eastAsia="Times New Roman" w:cs="Calibri"/>
                <w:color w:val="000000"/>
                <w:sz w:val="20"/>
                <w:szCs w:val="20"/>
                <w:lang w:eastAsia="cs-CZ"/>
              </w:rPr>
              <w:t>denní formě vzdělávání</w:t>
            </w:r>
          </w:p>
        </w:tc>
        <w:tc>
          <w:tcPr>
            <w:tcW w:w="649" w:type="pct"/>
            <w:tcBorders>
              <w:top w:val="single" w:sz="4" w:space="0" w:color="8ED973"/>
              <w:left w:val="nil"/>
              <w:bottom w:val="nil"/>
              <w:right w:val="nil"/>
            </w:tcBorders>
            <w:noWrap/>
            <w:hideMark/>
          </w:tcPr>
          <w:p w14:paraId="564C5F6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4AF46EA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Absolventi</w:t>
            </w:r>
          </w:p>
        </w:tc>
        <w:tc>
          <w:tcPr>
            <w:tcW w:w="511" w:type="pct"/>
            <w:tcBorders>
              <w:top w:val="single" w:sz="4" w:space="0" w:color="8ED973"/>
              <w:left w:val="nil"/>
              <w:bottom w:val="nil"/>
              <w:right w:val="nil"/>
            </w:tcBorders>
            <w:noWrap/>
            <w:hideMark/>
          </w:tcPr>
          <w:p w14:paraId="1E46932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489054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57E2A31D" w14:textId="77777777" w:rsidTr="009A58B0">
        <w:trPr>
          <w:trHeight w:val="520"/>
        </w:trPr>
        <w:tc>
          <w:tcPr>
            <w:tcW w:w="2378" w:type="pct"/>
            <w:tcBorders>
              <w:top w:val="single" w:sz="4" w:space="0" w:color="8ED973"/>
              <w:left w:val="single" w:sz="4" w:space="0" w:color="4EA72E"/>
              <w:bottom w:val="nil"/>
              <w:right w:val="nil"/>
            </w:tcBorders>
            <w:hideMark/>
          </w:tcPr>
          <w:p w14:paraId="52E2DAB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nově přijatých žáků do 1. ročníku středního vzdělávání bez výučního listu a maturity v denní formě vzdělávání</w:t>
            </w:r>
          </w:p>
        </w:tc>
        <w:tc>
          <w:tcPr>
            <w:tcW w:w="649" w:type="pct"/>
            <w:tcBorders>
              <w:top w:val="single" w:sz="4" w:space="0" w:color="8ED973"/>
              <w:left w:val="nil"/>
              <w:bottom w:val="nil"/>
              <w:right w:val="nil"/>
            </w:tcBorders>
            <w:noWrap/>
            <w:hideMark/>
          </w:tcPr>
          <w:p w14:paraId="63ED17F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19BD19C7"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06929FD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420BC07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418B305A" w14:textId="77777777" w:rsidTr="009A58B0">
        <w:trPr>
          <w:trHeight w:val="520"/>
        </w:trPr>
        <w:tc>
          <w:tcPr>
            <w:tcW w:w="2378" w:type="pct"/>
            <w:tcBorders>
              <w:top w:val="single" w:sz="4" w:space="0" w:color="8ED973"/>
              <w:left w:val="single" w:sz="4" w:space="0" w:color="4EA72E"/>
              <w:bottom w:val="nil"/>
              <w:right w:val="nil"/>
            </w:tcBorders>
            <w:hideMark/>
          </w:tcPr>
          <w:p w14:paraId="2C98773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žáků nastupujících do 1. ročníku ZŠ s odkladem povinné školní docházky</w:t>
            </w:r>
          </w:p>
        </w:tc>
        <w:tc>
          <w:tcPr>
            <w:tcW w:w="649" w:type="pct"/>
            <w:tcBorders>
              <w:top w:val="single" w:sz="4" w:space="0" w:color="8ED973"/>
              <w:left w:val="nil"/>
              <w:bottom w:val="nil"/>
              <w:right w:val="nil"/>
            </w:tcBorders>
            <w:noWrap/>
            <w:hideMark/>
          </w:tcPr>
          <w:p w14:paraId="7023219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0ECDAF0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03C0402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1695915"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0276CBFB" w14:textId="77777777" w:rsidTr="009A58B0">
        <w:trPr>
          <w:trHeight w:val="290"/>
        </w:trPr>
        <w:tc>
          <w:tcPr>
            <w:tcW w:w="2378" w:type="pct"/>
            <w:tcBorders>
              <w:top w:val="single" w:sz="4" w:space="0" w:color="8ED973"/>
              <w:left w:val="single" w:sz="4" w:space="0" w:color="4EA72E"/>
              <w:bottom w:val="nil"/>
              <w:right w:val="nil"/>
            </w:tcBorders>
            <w:hideMark/>
          </w:tcPr>
          <w:p w14:paraId="13CACF9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dětí ve věku 4 let navštěvujících MŠ z dané věkové skupiny</w:t>
            </w:r>
          </w:p>
        </w:tc>
        <w:tc>
          <w:tcPr>
            <w:tcW w:w="649" w:type="pct"/>
            <w:tcBorders>
              <w:top w:val="single" w:sz="4" w:space="0" w:color="8ED973"/>
              <w:left w:val="nil"/>
              <w:bottom w:val="nil"/>
              <w:right w:val="nil"/>
            </w:tcBorders>
            <w:noWrap/>
            <w:hideMark/>
          </w:tcPr>
          <w:p w14:paraId="668B2341"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02D46C6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2A505615"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67033E3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3E2F9F26" w14:textId="77777777" w:rsidTr="009A58B0">
        <w:trPr>
          <w:trHeight w:val="520"/>
        </w:trPr>
        <w:tc>
          <w:tcPr>
            <w:tcW w:w="2378" w:type="pct"/>
            <w:tcBorders>
              <w:top w:val="single" w:sz="4" w:space="0" w:color="8ED973"/>
              <w:left w:val="single" w:sz="4" w:space="0" w:color="4EA72E"/>
              <w:bottom w:val="nil"/>
              <w:right w:val="nil"/>
            </w:tcBorders>
            <w:hideMark/>
          </w:tcPr>
          <w:p w14:paraId="227C034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dětí ve věku 6 let navštěvujících zařízení předškolního vzdělávání z dané věkové skupiny</w:t>
            </w:r>
          </w:p>
        </w:tc>
        <w:tc>
          <w:tcPr>
            <w:tcW w:w="649" w:type="pct"/>
            <w:tcBorders>
              <w:top w:val="single" w:sz="4" w:space="0" w:color="8ED973"/>
              <w:left w:val="nil"/>
              <w:bottom w:val="nil"/>
              <w:right w:val="nil"/>
            </w:tcBorders>
            <w:noWrap/>
            <w:hideMark/>
          </w:tcPr>
          <w:p w14:paraId="0A974D69"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6981749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266358B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4C50433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4EE19E61" w14:textId="77777777" w:rsidTr="009A58B0">
        <w:trPr>
          <w:trHeight w:val="290"/>
        </w:trPr>
        <w:tc>
          <w:tcPr>
            <w:tcW w:w="2378" w:type="pct"/>
            <w:tcBorders>
              <w:top w:val="single" w:sz="4" w:space="0" w:color="8ED973"/>
              <w:left w:val="single" w:sz="4" w:space="0" w:color="4EA72E"/>
              <w:bottom w:val="nil"/>
              <w:right w:val="nil"/>
            </w:tcBorders>
            <w:hideMark/>
          </w:tcPr>
          <w:p w14:paraId="43F94C8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žáků ve speciálních třídách SŠ</w:t>
            </w:r>
          </w:p>
        </w:tc>
        <w:tc>
          <w:tcPr>
            <w:tcW w:w="649" w:type="pct"/>
            <w:tcBorders>
              <w:top w:val="single" w:sz="4" w:space="0" w:color="8ED973"/>
              <w:left w:val="nil"/>
              <w:bottom w:val="nil"/>
              <w:right w:val="nil"/>
            </w:tcBorders>
            <w:noWrap/>
            <w:hideMark/>
          </w:tcPr>
          <w:p w14:paraId="4DFA653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1A0A887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2122E72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30A581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02ED3B52" w14:textId="77777777" w:rsidTr="009A58B0">
        <w:trPr>
          <w:trHeight w:val="290"/>
        </w:trPr>
        <w:tc>
          <w:tcPr>
            <w:tcW w:w="2378" w:type="pct"/>
            <w:tcBorders>
              <w:top w:val="single" w:sz="4" w:space="0" w:color="8ED973"/>
              <w:left w:val="single" w:sz="4" w:space="0" w:color="4EA72E"/>
              <w:bottom w:val="nil"/>
              <w:right w:val="nil"/>
            </w:tcBorders>
            <w:hideMark/>
          </w:tcPr>
          <w:p w14:paraId="4085C209"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 xml:space="preserve">Podíl žáků 1. stupně ZŠ, kteří docházejí do školní družiny </w:t>
            </w:r>
          </w:p>
        </w:tc>
        <w:tc>
          <w:tcPr>
            <w:tcW w:w="649" w:type="pct"/>
            <w:tcBorders>
              <w:top w:val="single" w:sz="4" w:space="0" w:color="8ED973"/>
              <w:left w:val="nil"/>
              <w:bottom w:val="nil"/>
              <w:right w:val="nil"/>
            </w:tcBorders>
            <w:noWrap/>
            <w:hideMark/>
          </w:tcPr>
          <w:p w14:paraId="6671A21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30644FD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135855E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EE56F57"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073CF1AC" w14:textId="77777777" w:rsidTr="009A58B0">
        <w:trPr>
          <w:trHeight w:val="290"/>
        </w:trPr>
        <w:tc>
          <w:tcPr>
            <w:tcW w:w="2378" w:type="pct"/>
            <w:tcBorders>
              <w:top w:val="single" w:sz="4" w:space="0" w:color="8ED973"/>
              <w:left w:val="single" w:sz="4" w:space="0" w:color="4EA72E"/>
              <w:bottom w:val="nil"/>
              <w:right w:val="nil"/>
            </w:tcBorders>
            <w:hideMark/>
          </w:tcPr>
          <w:p w14:paraId="62095CAE"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Míra odchodů na víceletá gymnázia a konzervatoře</w:t>
            </w:r>
          </w:p>
        </w:tc>
        <w:tc>
          <w:tcPr>
            <w:tcW w:w="649" w:type="pct"/>
            <w:tcBorders>
              <w:top w:val="single" w:sz="4" w:space="0" w:color="8ED973"/>
              <w:left w:val="nil"/>
              <w:bottom w:val="nil"/>
              <w:right w:val="nil"/>
            </w:tcBorders>
            <w:noWrap/>
            <w:hideMark/>
          </w:tcPr>
          <w:p w14:paraId="1C35594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45AED00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E6EC70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5AD70DE5"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32F46924" w14:textId="77777777" w:rsidTr="009A58B0">
        <w:trPr>
          <w:trHeight w:val="290"/>
        </w:trPr>
        <w:tc>
          <w:tcPr>
            <w:tcW w:w="2378" w:type="pct"/>
            <w:tcBorders>
              <w:top w:val="single" w:sz="4" w:space="0" w:color="8ED973"/>
              <w:left w:val="single" w:sz="4" w:space="0" w:color="4EA72E"/>
              <w:bottom w:val="nil"/>
              <w:right w:val="nil"/>
            </w:tcBorders>
            <w:hideMark/>
          </w:tcPr>
          <w:p w14:paraId="4810010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lastRenderedPageBreak/>
              <w:t>Podíl dětí ve věku 2 let navštěvujících MŠ z dané věkové skupiny</w:t>
            </w:r>
          </w:p>
        </w:tc>
        <w:tc>
          <w:tcPr>
            <w:tcW w:w="649" w:type="pct"/>
            <w:tcBorders>
              <w:top w:val="single" w:sz="4" w:space="0" w:color="8ED973"/>
              <w:left w:val="nil"/>
              <w:bottom w:val="nil"/>
              <w:right w:val="nil"/>
            </w:tcBorders>
            <w:noWrap/>
            <w:hideMark/>
          </w:tcPr>
          <w:p w14:paraId="2904C74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375CF4A9"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0422CE6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4654816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2</w:t>
            </w:r>
          </w:p>
        </w:tc>
      </w:tr>
      <w:tr w:rsidR="0024586E" w:rsidRPr="00926508" w14:paraId="4C8FBEB6" w14:textId="77777777" w:rsidTr="009A58B0">
        <w:trPr>
          <w:trHeight w:val="290"/>
        </w:trPr>
        <w:tc>
          <w:tcPr>
            <w:tcW w:w="2378" w:type="pct"/>
            <w:tcBorders>
              <w:top w:val="single" w:sz="4" w:space="0" w:color="8ED973"/>
              <w:left w:val="single" w:sz="4" w:space="0" w:color="4EA72E"/>
              <w:bottom w:val="nil"/>
              <w:right w:val="nil"/>
            </w:tcBorders>
            <w:hideMark/>
          </w:tcPr>
          <w:p w14:paraId="65724A11"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žáků-cizinců v ZŠ</w:t>
            </w:r>
          </w:p>
        </w:tc>
        <w:tc>
          <w:tcPr>
            <w:tcW w:w="649" w:type="pct"/>
            <w:tcBorders>
              <w:top w:val="single" w:sz="4" w:space="0" w:color="8ED973"/>
              <w:left w:val="nil"/>
              <w:bottom w:val="nil"/>
              <w:right w:val="nil"/>
            </w:tcBorders>
            <w:noWrap/>
            <w:hideMark/>
          </w:tcPr>
          <w:p w14:paraId="6C904CA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76D9CB1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1C51B13D"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509305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13</w:t>
            </w:r>
          </w:p>
        </w:tc>
      </w:tr>
      <w:tr w:rsidR="0024586E" w:rsidRPr="00926508" w14:paraId="2E5245AC" w14:textId="77777777" w:rsidTr="009A58B0">
        <w:trPr>
          <w:trHeight w:val="290"/>
        </w:trPr>
        <w:tc>
          <w:tcPr>
            <w:tcW w:w="2378" w:type="pct"/>
            <w:tcBorders>
              <w:top w:val="single" w:sz="4" w:space="0" w:color="8ED973"/>
              <w:left w:val="single" w:sz="4" w:space="0" w:color="4EA72E"/>
              <w:bottom w:val="nil"/>
              <w:right w:val="nil"/>
            </w:tcBorders>
            <w:hideMark/>
          </w:tcPr>
          <w:p w14:paraId="41942EC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dětí-cizinců v MŠ</w:t>
            </w:r>
          </w:p>
        </w:tc>
        <w:tc>
          <w:tcPr>
            <w:tcW w:w="649" w:type="pct"/>
            <w:tcBorders>
              <w:top w:val="single" w:sz="4" w:space="0" w:color="8ED973"/>
              <w:left w:val="nil"/>
              <w:bottom w:val="nil"/>
              <w:right w:val="nil"/>
            </w:tcBorders>
            <w:noWrap/>
            <w:hideMark/>
          </w:tcPr>
          <w:p w14:paraId="6CD42A6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226C0A5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25D55963"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04D3042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14</w:t>
            </w:r>
          </w:p>
        </w:tc>
      </w:tr>
      <w:tr w:rsidR="0024586E" w:rsidRPr="00926508" w14:paraId="1F2E1000" w14:textId="77777777" w:rsidTr="009A58B0">
        <w:trPr>
          <w:trHeight w:val="290"/>
        </w:trPr>
        <w:tc>
          <w:tcPr>
            <w:tcW w:w="2378" w:type="pct"/>
            <w:tcBorders>
              <w:top w:val="single" w:sz="4" w:space="0" w:color="8ED973"/>
              <w:left w:val="single" w:sz="4" w:space="0" w:color="4EA72E"/>
              <w:bottom w:val="nil"/>
              <w:right w:val="nil"/>
            </w:tcBorders>
            <w:hideMark/>
          </w:tcPr>
          <w:p w14:paraId="2547AF9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žáků-cizinců v SŠ</w:t>
            </w:r>
          </w:p>
        </w:tc>
        <w:tc>
          <w:tcPr>
            <w:tcW w:w="649" w:type="pct"/>
            <w:tcBorders>
              <w:top w:val="single" w:sz="4" w:space="0" w:color="8ED973"/>
              <w:left w:val="nil"/>
              <w:bottom w:val="nil"/>
              <w:right w:val="nil"/>
            </w:tcBorders>
            <w:noWrap/>
            <w:hideMark/>
          </w:tcPr>
          <w:p w14:paraId="4A2871C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 na vzdělávání</w:t>
            </w:r>
          </w:p>
        </w:tc>
        <w:tc>
          <w:tcPr>
            <w:tcW w:w="1223" w:type="pct"/>
            <w:tcBorders>
              <w:top w:val="single" w:sz="4" w:space="0" w:color="8ED973"/>
              <w:left w:val="nil"/>
              <w:bottom w:val="nil"/>
              <w:right w:val="nil"/>
            </w:tcBorders>
            <w:noWrap/>
            <w:hideMark/>
          </w:tcPr>
          <w:p w14:paraId="0CA28A8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2AA558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BA11EF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14</w:t>
            </w:r>
          </w:p>
        </w:tc>
      </w:tr>
      <w:tr w:rsidR="0024586E" w:rsidRPr="00926508" w14:paraId="081FA1F6" w14:textId="77777777" w:rsidTr="009A58B0">
        <w:trPr>
          <w:trHeight w:val="290"/>
        </w:trPr>
        <w:tc>
          <w:tcPr>
            <w:tcW w:w="2378" w:type="pct"/>
            <w:tcBorders>
              <w:top w:val="single" w:sz="4" w:space="0" w:color="8ED973"/>
              <w:left w:val="single" w:sz="4" w:space="0" w:color="4EA72E"/>
              <w:bottom w:val="nil"/>
              <w:right w:val="nil"/>
            </w:tcBorders>
            <w:hideMark/>
          </w:tcPr>
          <w:p w14:paraId="452885E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žáků opakujících ročník v SŠ v nematuritních oborech</w:t>
            </w:r>
          </w:p>
        </w:tc>
        <w:tc>
          <w:tcPr>
            <w:tcW w:w="649" w:type="pct"/>
            <w:tcBorders>
              <w:top w:val="single" w:sz="4" w:space="0" w:color="8ED973"/>
              <w:left w:val="nil"/>
              <w:bottom w:val="nil"/>
              <w:right w:val="nil"/>
            </w:tcBorders>
            <w:noWrap/>
            <w:hideMark/>
          </w:tcPr>
          <w:p w14:paraId="3EA4ACD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Výsledky vzdělávání</w:t>
            </w:r>
          </w:p>
        </w:tc>
        <w:tc>
          <w:tcPr>
            <w:tcW w:w="1223" w:type="pct"/>
            <w:tcBorders>
              <w:top w:val="single" w:sz="4" w:space="0" w:color="8ED973"/>
              <w:left w:val="nil"/>
              <w:bottom w:val="nil"/>
              <w:right w:val="nil"/>
            </w:tcBorders>
            <w:noWrap/>
            <w:hideMark/>
          </w:tcPr>
          <w:p w14:paraId="4E88162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55C7237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3A8A71B"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w:t>
            </w:r>
          </w:p>
        </w:tc>
      </w:tr>
      <w:tr w:rsidR="0024586E" w:rsidRPr="00926508" w14:paraId="1A666C24" w14:textId="77777777" w:rsidTr="009A58B0">
        <w:trPr>
          <w:trHeight w:val="520"/>
        </w:trPr>
        <w:tc>
          <w:tcPr>
            <w:tcW w:w="2378" w:type="pct"/>
            <w:tcBorders>
              <w:top w:val="single" w:sz="4" w:space="0" w:color="8ED973"/>
              <w:left w:val="single" w:sz="4" w:space="0" w:color="4EA72E"/>
              <w:bottom w:val="nil"/>
              <w:right w:val="nil"/>
            </w:tcBorders>
            <w:hideMark/>
          </w:tcPr>
          <w:p w14:paraId="4095041A"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Podíl žáků souhlasících s výrokem cítím, že do školy patřím (žáci 4. ročníků ZŠ)</w:t>
            </w:r>
          </w:p>
        </w:tc>
        <w:tc>
          <w:tcPr>
            <w:tcW w:w="649" w:type="pct"/>
            <w:tcBorders>
              <w:top w:val="single" w:sz="4" w:space="0" w:color="8ED973"/>
              <w:left w:val="nil"/>
              <w:bottom w:val="nil"/>
              <w:right w:val="nil"/>
            </w:tcBorders>
            <w:noWrap/>
            <w:hideMark/>
          </w:tcPr>
          <w:p w14:paraId="2FCB39F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Well-being</w:t>
            </w:r>
          </w:p>
        </w:tc>
        <w:tc>
          <w:tcPr>
            <w:tcW w:w="1223" w:type="pct"/>
            <w:tcBorders>
              <w:top w:val="single" w:sz="4" w:space="0" w:color="8ED973"/>
              <w:left w:val="nil"/>
              <w:bottom w:val="nil"/>
              <w:right w:val="nil"/>
            </w:tcBorders>
            <w:noWrap/>
            <w:hideMark/>
          </w:tcPr>
          <w:p w14:paraId="227B1DA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682E8675"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BE9261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14</w:t>
            </w:r>
          </w:p>
        </w:tc>
      </w:tr>
      <w:tr w:rsidR="0024586E" w:rsidRPr="00926508" w14:paraId="1BDB9054" w14:textId="77777777" w:rsidTr="009A58B0">
        <w:trPr>
          <w:trHeight w:val="290"/>
        </w:trPr>
        <w:tc>
          <w:tcPr>
            <w:tcW w:w="2378" w:type="pct"/>
            <w:tcBorders>
              <w:top w:val="single" w:sz="4" w:space="0" w:color="8ED973"/>
              <w:left w:val="single" w:sz="4" w:space="0" w:color="4EA72E"/>
              <w:bottom w:val="nil"/>
              <w:right w:val="nil"/>
            </w:tcBorders>
            <w:hideMark/>
          </w:tcPr>
          <w:p w14:paraId="664F4E42"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Pocit sounáležitosti TIMSS – žáci 8. ročníků ZŠ</w:t>
            </w:r>
          </w:p>
        </w:tc>
        <w:tc>
          <w:tcPr>
            <w:tcW w:w="649" w:type="pct"/>
            <w:tcBorders>
              <w:top w:val="single" w:sz="4" w:space="0" w:color="8ED973"/>
              <w:left w:val="nil"/>
              <w:bottom w:val="nil"/>
              <w:right w:val="nil"/>
            </w:tcBorders>
            <w:noWrap/>
            <w:hideMark/>
          </w:tcPr>
          <w:p w14:paraId="0B7A2820"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Well-being</w:t>
            </w:r>
          </w:p>
        </w:tc>
        <w:tc>
          <w:tcPr>
            <w:tcW w:w="1223" w:type="pct"/>
            <w:tcBorders>
              <w:top w:val="single" w:sz="4" w:space="0" w:color="8ED973"/>
              <w:left w:val="nil"/>
              <w:bottom w:val="nil"/>
              <w:right w:val="nil"/>
            </w:tcBorders>
            <w:noWrap/>
            <w:hideMark/>
          </w:tcPr>
          <w:p w14:paraId="6862078C"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13C88158"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E16CDA3"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14</w:t>
            </w:r>
          </w:p>
        </w:tc>
      </w:tr>
      <w:tr w:rsidR="0024586E" w:rsidRPr="00926508" w14:paraId="1CF8073A" w14:textId="77777777" w:rsidTr="009A58B0">
        <w:trPr>
          <w:trHeight w:val="520"/>
        </w:trPr>
        <w:tc>
          <w:tcPr>
            <w:tcW w:w="2378" w:type="pct"/>
            <w:tcBorders>
              <w:top w:val="single" w:sz="4" w:space="0" w:color="8ED973"/>
              <w:left w:val="single" w:sz="4" w:space="0" w:color="4EA72E"/>
              <w:bottom w:val="single" w:sz="4" w:space="0" w:color="4EA72E"/>
              <w:right w:val="nil"/>
            </w:tcBorders>
            <w:hideMark/>
          </w:tcPr>
          <w:p w14:paraId="513C9D23"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 xml:space="preserve">Podíl žáků ZŠ s excelentními výsledky v testech matematické gramotnosti </w:t>
            </w:r>
            <w:r>
              <w:rPr>
                <w:rFonts w:eastAsia="Times New Roman" w:cs="Calibri"/>
                <w:color w:val="000000"/>
                <w:sz w:val="20"/>
                <w:szCs w:val="20"/>
                <w:lang w:eastAsia="cs-CZ"/>
              </w:rPr>
              <w:t>(</w:t>
            </w:r>
            <w:r w:rsidRPr="00926508">
              <w:rPr>
                <w:rFonts w:eastAsia="Times New Roman" w:cs="Calibri"/>
                <w:color w:val="000000"/>
                <w:sz w:val="20"/>
                <w:szCs w:val="20"/>
                <w:lang w:eastAsia="cs-CZ"/>
              </w:rPr>
              <w:t>PISA)</w:t>
            </w:r>
          </w:p>
        </w:tc>
        <w:tc>
          <w:tcPr>
            <w:tcW w:w="649" w:type="pct"/>
            <w:tcBorders>
              <w:top w:val="single" w:sz="4" w:space="0" w:color="8ED973"/>
              <w:left w:val="nil"/>
              <w:bottom w:val="single" w:sz="4" w:space="0" w:color="4EA72E"/>
              <w:right w:val="nil"/>
            </w:tcBorders>
            <w:noWrap/>
            <w:hideMark/>
          </w:tcPr>
          <w:p w14:paraId="1D65318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Nerovnosti</w:t>
            </w:r>
          </w:p>
        </w:tc>
        <w:tc>
          <w:tcPr>
            <w:tcW w:w="1223" w:type="pct"/>
            <w:tcBorders>
              <w:top w:val="single" w:sz="4" w:space="0" w:color="8ED973"/>
              <w:left w:val="nil"/>
              <w:bottom w:val="single" w:sz="4" w:space="0" w:color="4EA72E"/>
              <w:right w:val="nil"/>
            </w:tcBorders>
            <w:noWrap/>
            <w:hideMark/>
          </w:tcPr>
          <w:p w14:paraId="4E295AB6"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Žáci v dovednostních úrovních</w:t>
            </w:r>
          </w:p>
        </w:tc>
        <w:tc>
          <w:tcPr>
            <w:tcW w:w="511" w:type="pct"/>
            <w:tcBorders>
              <w:top w:val="single" w:sz="4" w:space="0" w:color="8ED973"/>
              <w:left w:val="nil"/>
              <w:bottom w:val="single" w:sz="4" w:space="0" w:color="4EA72E"/>
              <w:right w:val="nil"/>
            </w:tcBorders>
            <w:noWrap/>
            <w:hideMark/>
          </w:tcPr>
          <w:p w14:paraId="2389D614"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ZŠ, SŠ</w:t>
            </w:r>
          </w:p>
        </w:tc>
        <w:tc>
          <w:tcPr>
            <w:tcW w:w="239" w:type="pct"/>
            <w:tcBorders>
              <w:top w:val="single" w:sz="4" w:space="0" w:color="8ED973"/>
              <w:left w:val="nil"/>
              <w:bottom w:val="single" w:sz="4" w:space="0" w:color="4EA72E"/>
              <w:right w:val="single" w:sz="4" w:space="0" w:color="4EA72E"/>
            </w:tcBorders>
            <w:noWrap/>
            <w:hideMark/>
          </w:tcPr>
          <w:p w14:paraId="79E68E8F" w14:textId="77777777" w:rsidR="0024586E" w:rsidRPr="00926508" w:rsidRDefault="0024586E" w:rsidP="009574F4">
            <w:pPr>
              <w:spacing w:after="0"/>
              <w:rPr>
                <w:rFonts w:eastAsia="Times New Roman" w:cs="Calibri"/>
                <w:color w:val="000000"/>
                <w:sz w:val="20"/>
                <w:szCs w:val="20"/>
                <w:lang w:eastAsia="cs-CZ"/>
              </w:rPr>
            </w:pPr>
            <w:r w:rsidRPr="00926508">
              <w:rPr>
                <w:rFonts w:eastAsia="Times New Roman" w:cs="Calibri"/>
                <w:color w:val="000000"/>
                <w:sz w:val="20"/>
                <w:szCs w:val="20"/>
                <w:lang w:eastAsia="cs-CZ"/>
              </w:rPr>
              <w:t>13</w:t>
            </w:r>
          </w:p>
        </w:tc>
      </w:tr>
    </w:tbl>
    <w:p w14:paraId="7239F889" w14:textId="77777777" w:rsidR="0024586E" w:rsidRDefault="0024586E" w:rsidP="0024586E">
      <w:pPr>
        <w:spacing w:line="276" w:lineRule="auto"/>
        <w:rPr>
          <w:b/>
          <w:bCs/>
        </w:rPr>
      </w:pPr>
    </w:p>
    <w:p w14:paraId="311D43C7" w14:textId="77777777" w:rsidR="00400FE9" w:rsidRDefault="00400FE9">
      <w:pPr>
        <w:spacing w:line="276" w:lineRule="auto"/>
        <w:rPr>
          <w:rFonts w:eastAsiaTheme="majorEastAsia" w:cstheme="majorBidi"/>
          <w:b/>
          <w:color w:val="4C4C4C"/>
          <w:sz w:val="24"/>
          <w:szCs w:val="23"/>
        </w:rPr>
      </w:pPr>
      <w:r>
        <w:br w:type="page"/>
      </w:r>
    </w:p>
    <w:p w14:paraId="35009003" w14:textId="52917408" w:rsidR="0024586E" w:rsidRDefault="0024586E" w:rsidP="0024586E">
      <w:pPr>
        <w:pStyle w:val="Nadpis4"/>
        <w:rPr>
          <w:b w:val="0"/>
        </w:rPr>
      </w:pPr>
      <w:r>
        <w:lastRenderedPageBreak/>
        <w:t>Zlínský kraj</w:t>
      </w:r>
    </w:p>
    <w:p w14:paraId="71A1A0D3" w14:textId="77777777" w:rsidR="0024586E" w:rsidRPr="00FC6BD5" w:rsidRDefault="0024586E" w:rsidP="0024586E">
      <w:pPr>
        <w:spacing w:line="276" w:lineRule="auto"/>
        <w:jc w:val="both"/>
      </w:pPr>
      <w:r>
        <w:t>Zlínský kraj se vyznačuje v</w:t>
      </w:r>
      <w:r w:rsidRPr="00BC25EA">
        <w:t>ysoký</w:t>
      </w:r>
      <w:r>
        <w:t>m</w:t>
      </w:r>
      <w:r w:rsidRPr="00BC25EA">
        <w:t xml:space="preserve"> průměrný</w:t>
      </w:r>
      <w:r>
        <w:t>m</w:t>
      </w:r>
      <w:r w:rsidRPr="00BC25EA">
        <w:t xml:space="preserve"> plat</w:t>
      </w:r>
      <w:r>
        <w:t>em</w:t>
      </w:r>
      <w:r w:rsidRPr="00BC25EA">
        <w:t xml:space="preserve"> školních psychologů k průměrné mzdě, </w:t>
      </w:r>
      <w:r>
        <w:t xml:space="preserve">stejně tak i </w:t>
      </w:r>
      <w:r w:rsidRPr="00BC25EA">
        <w:t>vysoký</w:t>
      </w:r>
      <w:r>
        <w:t>m</w:t>
      </w:r>
      <w:r w:rsidRPr="00BC25EA">
        <w:t xml:space="preserve"> průměrný</w:t>
      </w:r>
      <w:r>
        <w:t>m</w:t>
      </w:r>
      <w:r w:rsidRPr="00BC25EA">
        <w:t xml:space="preserve"> plat</w:t>
      </w:r>
      <w:r>
        <w:t>em</w:t>
      </w:r>
      <w:r w:rsidRPr="00BC25EA">
        <w:t xml:space="preserve"> učitelů </w:t>
      </w:r>
      <w:r>
        <w:t>na</w:t>
      </w:r>
      <w:r w:rsidRPr="00BC25EA">
        <w:t xml:space="preserve"> SŠ</w:t>
      </w:r>
      <w:r w:rsidRPr="005F478E">
        <w:t>. Ve všech typech škol je nízký podíl nekvalifikovaných učitelů (MŠ, ZŠ, SŠ).</w:t>
      </w:r>
      <w:r>
        <w:t xml:space="preserve"> Vysoký </w:t>
      </w:r>
      <w:r w:rsidRPr="00BC25EA">
        <w:t xml:space="preserve">podíl hodin </w:t>
      </w:r>
      <w:r>
        <w:t xml:space="preserve">je </w:t>
      </w:r>
      <w:r w:rsidRPr="00BC25EA">
        <w:t>odučen aprobovanými učiteli</w:t>
      </w:r>
      <w:r>
        <w:t>. Ve Zlínském kraji je také relativně v</w:t>
      </w:r>
      <w:r w:rsidRPr="00BC25EA">
        <w:t xml:space="preserve">ysoký podíl dětí </w:t>
      </w:r>
      <w:r>
        <w:t xml:space="preserve">navštěvujících předškolní zařízení, především dětí </w:t>
      </w:r>
      <w:r w:rsidRPr="00BC25EA">
        <w:t xml:space="preserve">ve věku 3 a </w:t>
      </w:r>
      <w:r w:rsidRPr="001651F0">
        <w:t>6 let</w:t>
      </w:r>
      <w:r>
        <w:t>.</w:t>
      </w:r>
      <w:r w:rsidRPr="00BC25EA">
        <w:t xml:space="preserve"> </w:t>
      </w:r>
      <w:r>
        <w:t>Zároveň je také patrný v</w:t>
      </w:r>
      <w:r w:rsidRPr="00BC25EA">
        <w:t xml:space="preserve">ysoký podíl dětí ve speciálních třídách </w:t>
      </w:r>
      <w:r w:rsidRPr="006F1F66">
        <w:t>MŠ. V úspěšnosti</w:t>
      </w:r>
      <w:r>
        <w:t xml:space="preserve"> maturantů u maturitní zkoušky je tento kraj na 1. místě. Ve Zlínském kraji dosahují žáci v kontextu ČR velmi dobrých výsledků</w:t>
      </w:r>
      <w:r w:rsidRPr="00BC25EA">
        <w:t xml:space="preserve"> v mezinárodních testech (čtenářská gramotnost, přírodovědné a matematické dovednosti)</w:t>
      </w:r>
      <w:r>
        <w:t xml:space="preserve">. Je v něm také </w:t>
      </w:r>
      <w:r w:rsidRPr="00BC25EA">
        <w:t>vysoký podíl žáků 9. tříd v nejvyšších úrovních výsledků v českém jazyce a</w:t>
      </w:r>
      <w:r>
        <w:t> </w:t>
      </w:r>
      <w:r w:rsidRPr="00BC25EA">
        <w:t>matematice.</w:t>
      </w:r>
      <w:r>
        <w:t xml:space="preserve"> Z dat dále vyplývá nízká míra opakování ročníku v ZŠ i SŠ a nízká míra předčasných odchodů ze středního vzdělávání. V oblasti well-beingu jsou výsledky protichůdné. </w:t>
      </w:r>
      <w:r w:rsidRPr="007C7CBE">
        <w:t>Vysoký je index šikany</w:t>
      </w:r>
      <w:r w:rsidRPr="00BC25EA">
        <w:t xml:space="preserve"> </w:t>
      </w:r>
      <w:r>
        <w:t xml:space="preserve">u žáků 4. ročníku a nízká hodnota indexu sounáležitosti u 15letých žáků. Naopak pocit sounáležitosti se školou u žáků 4. ročníku je v kontextu ČR vysoký. </w:t>
      </w:r>
    </w:p>
    <w:tbl>
      <w:tblPr>
        <w:tblW w:w="5000" w:type="pct"/>
        <w:tblCellMar>
          <w:left w:w="70" w:type="dxa"/>
          <w:right w:w="70" w:type="dxa"/>
        </w:tblCellMar>
        <w:tblLook w:val="04A0" w:firstRow="1" w:lastRow="0" w:firstColumn="1" w:lastColumn="0" w:noHBand="0" w:noVBand="1"/>
      </w:tblPr>
      <w:tblGrid>
        <w:gridCol w:w="6790"/>
        <w:gridCol w:w="1853"/>
        <w:gridCol w:w="3493"/>
        <w:gridCol w:w="1459"/>
        <w:gridCol w:w="681"/>
      </w:tblGrid>
      <w:tr w:rsidR="0024586E" w:rsidRPr="00BC25EA" w14:paraId="52F8FE36" w14:textId="77777777" w:rsidTr="009A58B0">
        <w:trPr>
          <w:trHeight w:val="290"/>
          <w:tblHeader/>
        </w:trPr>
        <w:tc>
          <w:tcPr>
            <w:tcW w:w="2379" w:type="pct"/>
            <w:tcBorders>
              <w:top w:val="single" w:sz="4" w:space="0" w:color="8ED973"/>
              <w:left w:val="single" w:sz="4" w:space="0" w:color="4EA72E"/>
              <w:bottom w:val="nil"/>
              <w:right w:val="nil"/>
            </w:tcBorders>
            <w:shd w:val="clear" w:color="4EA72E" w:fill="4EA72E"/>
            <w:vAlign w:val="bottom"/>
            <w:hideMark/>
          </w:tcPr>
          <w:p w14:paraId="60A3A168" w14:textId="77777777" w:rsidR="0024586E" w:rsidRPr="00BC25EA" w:rsidRDefault="0024586E" w:rsidP="009574F4">
            <w:pPr>
              <w:spacing w:after="0"/>
              <w:rPr>
                <w:rFonts w:eastAsia="Times New Roman" w:cs="Calibri"/>
                <w:b/>
                <w:bCs/>
                <w:color w:val="FFFFFF"/>
                <w:sz w:val="20"/>
                <w:szCs w:val="20"/>
                <w:lang w:eastAsia="cs-CZ"/>
              </w:rPr>
            </w:pPr>
            <w:r>
              <w:rPr>
                <w:rFonts w:eastAsia="Times New Roman" w:cs="Calibri"/>
                <w:b/>
                <w:bCs/>
                <w:color w:val="FFFFFF"/>
                <w:sz w:val="20"/>
                <w:szCs w:val="20"/>
                <w:lang w:eastAsia="cs-CZ"/>
              </w:rPr>
              <w:t xml:space="preserve"> </w:t>
            </w:r>
            <w:r w:rsidRPr="00BC25EA">
              <w:rPr>
                <w:rFonts w:eastAsia="Times New Roman" w:cs="Calibri"/>
                <w:b/>
                <w:bCs/>
                <w:color w:val="FFFFFF"/>
                <w:sz w:val="20"/>
                <w:szCs w:val="20"/>
                <w:lang w:eastAsia="cs-CZ"/>
              </w:rPr>
              <w:t>Název údaje</w:t>
            </w:r>
          </w:p>
        </w:tc>
        <w:tc>
          <w:tcPr>
            <w:tcW w:w="648" w:type="pct"/>
            <w:tcBorders>
              <w:top w:val="single" w:sz="4" w:space="0" w:color="8ED973"/>
              <w:left w:val="nil"/>
              <w:bottom w:val="nil"/>
              <w:right w:val="nil"/>
            </w:tcBorders>
            <w:shd w:val="clear" w:color="4EA72E" w:fill="4EA72E"/>
            <w:noWrap/>
            <w:vAlign w:val="bottom"/>
            <w:hideMark/>
          </w:tcPr>
          <w:p w14:paraId="0073FC36" w14:textId="77777777" w:rsidR="0024586E" w:rsidRPr="00BC25EA" w:rsidRDefault="0024586E" w:rsidP="009574F4">
            <w:pPr>
              <w:spacing w:after="0"/>
              <w:rPr>
                <w:rFonts w:eastAsia="Times New Roman" w:cs="Calibri"/>
                <w:b/>
                <w:bCs/>
                <w:color w:val="FFFFFF"/>
                <w:sz w:val="20"/>
                <w:szCs w:val="20"/>
                <w:lang w:eastAsia="cs-CZ"/>
              </w:rPr>
            </w:pPr>
            <w:r w:rsidRPr="00BC25EA">
              <w:rPr>
                <w:rFonts w:eastAsia="Times New Roman" w:cs="Calibri"/>
                <w:b/>
                <w:bCs/>
                <w:color w:val="FFFFFF"/>
                <w:sz w:val="20"/>
                <w:szCs w:val="20"/>
                <w:lang w:eastAsia="cs-CZ"/>
              </w:rPr>
              <w:t>Oblast</w:t>
            </w:r>
          </w:p>
        </w:tc>
        <w:tc>
          <w:tcPr>
            <w:tcW w:w="1224" w:type="pct"/>
            <w:tcBorders>
              <w:top w:val="single" w:sz="4" w:space="0" w:color="8ED973"/>
              <w:left w:val="nil"/>
              <w:bottom w:val="nil"/>
              <w:right w:val="nil"/>
            </w:tcBorders>
            <w:shd w:val="clear" w:color="4EA72E" w:fill="4EA72E"/>
            <w:noWrap/>
            <w:vAlign w:val="bottom"/>
            <w:hideMark/>
          </w:tcPr>
          <w:p w14:paraId="7C9F4688" w14:textId="77777777" w:rsidR="0024586E" w:rsidRPr="00BC25EA" w:rsidRDefault="0024586E" w:rsidP="009574F4">
            <w:pPr>
              <w:spacing w:after="0"/>
              <w:rPr>
                <w:rFonts w:eastAsia="Times New Roman" w:cs="Calibri"/>
                <w:b/>
                <w:bCs/>
                <w:color w:val="FFFFFF"/>
                <w:sz w:val="20"/>
                <w:szCs w:val="20"/>
                <w:lang w:eastAsia="cs-CZ"/>
              </w:rPr>
            </w:pPr>
            <w:r w:rsidRPr="00BC25EA">
              <w:rPr>
                <w:rFonts w:eastAsia="Times New Roman" w:cs="Calibri"/>
                <w:b/>
                <w:bCs/>
                <w:color w:val="FFFFFF"/>
                <w:sz w:val="20"/>
                <w:szCs w:val="20"/>
                <w:lang w:eastAsia="cs-CZ"/>
              </w:rPr>
              <w:t>Podoblast</w:t>
            </w:r>
          </w:p>
        </w:tc>
        <w:tc>
          <w:tcPr>
            <w:tcW w:w="511" w:type="pct"/>
            <w:tcBorders>
              <w:top w:val="single" w:sz="4" w:space="0" w:color="8ED973"/>
              <w:left w:val="nil"/>
              <w:bottom w:val="nil"/>
              <w:right w:val="nil"/>
            </w:tcBorders>
            <w:shd w:val="clear" w:color="4EA72E" w:fill="4EA72E"/>
            <w:noWrap/>
            <w:vAlign w:val="bottom"/>
            <w:hideMark/>
          </w:tcPr>
          <w:p w14:paraId="0561C1FA" w14:textId="77777777" w:rsidR="0024586E" w:rsidRPr="00BC25EA" w:rsidRDefault="0024586E" w:rsidP="009574F4">
            <w:pPr>
              <w:spacing w:after="0"/>
              <w:rPr>
                <w:rFonts w:eastAsia="Times New Roman" w:cs="Calibri"/>
                <w:b/>
                <w:bCs/>
                <w:color w:val="FFFFFF"/>
                <w:sz w:val="20"/>
                <w:szCs w:val="20"/>
                <w:lang w:eastAsia="cs-CZ"/>
              </w:rPr>
            </w:pPr>
            <w:r w:rsidRPr="00BC25EA">
              <w:rPr>
                <w:rFonts w:eastAsia="Times New Roman" w:cs="Calibri"/>
                <w:b/>
                <w:bCs/>
                <w:color w:val="FFFFFF"/>
                <w:sz w:val="20"/>
                <w:szCs w:val="20"/>
                <w:lang w:eastAsia="cs-CZ"/>
              </w:rPr>
              <w:t>Stupeň vzdělání</w:t>
            </w:r>
          </w:p>
        </w:tc>
        <w:tc>
          <w:tcPr>
            <w:tcW w:w="239" w:type="pct"/>
            <w:tcBorders>
              <w:top w:val="single" w:sz="4" w:space="0" w:color="8ED973"/>
              <w:left w:val="nil"/>
              <w:bottom w:val="nil"/>
              <w:right w:val="single" w:sz="4" w:space="0" w:color="4EA72E"/>
            </w:tcBorders>
            <w:shd w:val="clear" w:color="4EA72E" w:fill="4EA72E"/>
            <w:noWrap/>
            <w:vAlign w:val="bottom"/>
            <w:hideMark/>
          </w:tcPr>
          <w:p w14:paraId="125B487F" w14:textId="77777777" w:rsidR="0024586E" w:rsidRPr="00BC25EA" w:rsidRDefault="0024586E" w:rsidP="009574F4">
            <w:pPr>
              <w:spacing w:after="0"/>
              <w:rPr>
                <w:rFonts w:eastAsia="Times New Roman" w:cs="Calibri"/>
                <w:b/>
                <w:bCs/>
                <w:color w:val="FFFFFF"/>
                <w:sz w:val="20"/>
                <w:szCs w:val="20"/>
                <w:lang w:eastAsia="cs-CZ"/>
              </w:rPr>
            </w:pPr>
            <w:r w:rsidRPr="00BC25EA">
              <w:rPr>
                <w:rFonts w:eastAsia="Times New Roman" w:cs="Calibri"/>
                <w:b/>
                <w:bCs/>
                <w:color w:val="FFFFFF"/>
                <w:sz w:val="20"/>
                <w:szCs w:val="20"/>
                <w:lang w:eastAsia="cs-CZ"/>
              </w:rPr>
              <w:t>Pořadí</w:t>
            </w:r>
          </w:p>
        </w:tc>
      </w:tr>
      <w:tr w:rsidR="0024586E" w:rsidRPr="00BC25EA" w14:paraId="096E0928" w14:textId="77777777" w:rsidTr="009A58B0">
        <w:trPr>
          <w:trHeight w:val="290"/>
        </w:trPr>
        <w:tc>
          <w:tcPr>
            <w:tcW w:w="2379" w:type="pct"/>
            <w:tcBorders>
              <w:top w:val="single" w:sz="4" w:space="0" w:color="8ED973"/>
              <w:left w:val="single" w:sz="4" w:space="0" w:color="4EA72E"/>
              <w:bottom w:val="nil"/>
              <w:right w:val="nil"/>
            </w:tcBorders>
            <w:hideMark/>
          </w:tcPr>
          <w:p w14:paraId="353D41C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Průměrný plat školního psychologa k průměrné mzdě</w:t>
            </w:r>
          </w:p>
        </w:tc>
        <w:tc>
          <w:tcPr>
            <w:tcW w:w="648" w:type="pct"/>
            <w:tcBorders>
              <w:top w:val="single" w:sz="4" w:space="0" w:color="8ED973"/>
              <w:left w:val="nil"/>
              <w:bottom w:val="nil"/>
              <w:right w:val="nil"/>
            </w:tcBorders>
            <w:noWrap/>
            <w:hideMark/>
          </w:tcPr>
          <w:p w14:paraId="0A12035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70168DA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Další pedagogické profese/specializace</w:t>
            </w:r>
          </w:p>
        </w:tc>
        <w:tc>
          <w:tcPr>
            <w:tcW w:w="511" w:type="pct"/>
            <w:tcBorders>
              <w:top w:val="single" w:sz="4" w:space="0" w:color="8ED973"/>
              <w:left w:val="nil"/>
              <w:bottom w:val="nil"/>
              <w:right w:val="nil"/>
            </w:tcBorders>
            <w:noWrap/>
            <w:hideMark/>
          </w:tcPr>
          <w:p w14:paraId="2C44F4D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6C72C14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4CB06BC7" w14:textId="77777777" w:rsidTr="009A58B0">
        <w:trPr>
          <w:trHeight w:val="290"/>
        </w:trPr>
        <w:tc>
          <w:tcPr>
            <w:tcW w:w="2379" w:type="pct"/>
            <w:tcBorders>
              <w:top w:val="single" w:sz="4" w:space="0" w:color="8ED973"/>
              <w:left w:val="single" w:sz="4" w:space="0" w:color="4EA72E"/>
              <w:bottom w:val="nil"/>
              <w:right w:val="nil"/>
            </w:tcBorders>
            <w:hideMark/>
          </w:tcPr>
          <w:p w14:paraId="5D61EBE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Průměrný plat učitele ve veřejné SŠ k průměrné mzdě</w:t>
            </w:r>
          </w:p>
        </w:tc>
        <w:tc>
          <w:tcPr>
            <w:tcW w:w="648" w:type="pct"/>
            <w:tcBorders>
              <w:top w:val="single" w:sz="4" w:space="0" w:color="8ED973"/>
              <w:left w:val="nil"/>
              <w:bottom w:val="nil"/>
              <w:right w:val="nil"/>
            </w:tcBorders>
            <w:noWrap/>
            <w:hideMark/>
          </w:tcPr>
          <w:p w14:paraId="10A46C8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0EE4BFA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789840A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03F442B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7AE949D6" w14:textId="77777777" w:rsidTr="009A58B0">
        <w:trPr>
          <w:trHeight w:val="290"/>
        </w:trPr>
        <w:tc>
          <w:tcPr>
            <w:tcW w:w="2379" w:type="pct"/>
            <w:tcBorders>
              <w:top w:val="single" w:sz="4" w:space="0" w:color="8ED973"/>
              <w:left w:val="single" w:sz="4" w:space="0" w:color="4EA72E"/>
              <w:bottom w:val="nil"/>
              <w:right w:val="nil"/>
            </w:tcBorders>
            <w:hideMark/>
          </w:tcPr>
          <w:p w14:paraId="2723907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nekvalifikovaných učitelů MŠ</w:t>
            </w:r>
          </w:p>
        </w:tc>
        <w:tc>
          <w:tcPr>
            <w:tcW w:w="648" w:type="pct"/>
            <w:tcBorders>
              <w:top w:val="single" w:sz="4" w:space="0" w:color="8ED973"/>
              <w:left w:val="nil"/>
              <w:bottom w:val="nil"/>
              <w:right w:val="nil"/>
            </w:tcBorders>
            <w:noWrap/>
            <w:hideMark/>
          </w:tcPr>
          <w:p w14:paraId="1A697FD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5C5A42C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0DC1C1A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5D2F4EA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1D56A2CB" w14:textId="77777777" w:rsidTr="009A58B0">
        <w:trPr>
          <w:trHeight w:val="290"/>
        </w:trPr>
        <w:tc>
          <w:tcPr>
            <w:tcW w:w="2379" w:type="pct"/>
            <w:tcBorders>
              <w:top w:val="single" w:sz="4" w:space="0" w:color="8ED973"/>
              <w:left w:val="single" w:sz="4" w:space="0" w:color="4EA72E"/>
              <w:bottom w:val="nil"/>
              <w:right w:val="nil"/>
            </w:tcBorders>
            <w:hideMark/>
          </w:tcPr>
          <w:p w14:paraId="62C2898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 xml:space="preserve">Podíl nekvalifikovaných učitelů </w:t>
            </w:r>
          </w:p>
        </w:tc>
        <w:tc>
          <w:tcPr>
            <w:tcW w:w="648" w:type="pct"/>
            <w:tcBorders>
              <w:top w:val="single" w:sz="4" w:space="0" w:color="8ED973"/>
              <w:left w:val="nil"/>
              <w:bottom w:val="nil"/>
              <w:right w:val="nil"/>
            </w:tcBorders>
            <w:noWrap/>
            <w:hideMark/>
          </w:tcPr>
          <w:p w14:paraId="5C230AB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475FB07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3D012A0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 ZŠ, SŠ</w:t>
            </w:r>
          </w:p>
        </w:tc>
        <w:tc>
          <w:tcPr>
            <w:tcW w:w="239" w:type="pct"/>
            <w:tcBorders>
              <w:top w:val="single" w:sz="4" w:space="0" w:color="8ED973"/>
              <w:left w:val="nil"/>
              <w:bottom w:val="nil"/>
              <w:right w:val="single" w:sz="4" w:space="0" w:color="4EA72E"/>
            </w:tcBorders>
            <w:noWrap/>
            <w:hideMark/>
          </w:tcPr>
          <w:p w14:paraId="70B6513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471D2184" w14:textId="77777777" w:rsidTr="009A58B0">
        <w:trPr>
          <w:trHeight w:val="290"/>
        </w:trPr>
        <w:tc>
          <w:tcPr>
            <w:tcW w:w="2379" w:type="pct"/>
            <w:tcBorders>
              <w:top w:val="single" w:sz="4" w:space="0" w:color="8ED973"/>
              <w:left w:val="single" w:sz="4" w:space="0" w:color="4EA72E"/>
              <w:bottom w:val="nil"/>
              <w:right w:val="nil"/>
            </w:tcBorders>
            <w:hideMark/>
          </w:tcPr>
          <w:p w14:paraId="1FB00A4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nekvalifikovaných učitelů 1. st. ZŠ</w:t>
            </w:r>
          </w:p>
        </w:tc>
        <w:tc>
          <w:tcPr>
            <w:tcW w:w="648" w:type="pct"/>
            <w:tcBorders>
              <w:top w:val="single" w:sz="4" w:space="0" w:color="8ED973"/>
              <w:left w:val="nil"/>
              <w:bottom w:val="nil"/>
              <w:right w:val="nil"/>
            </w:tcBorders>
            <w:noWrap/>
            <w:hideMark/>
          </w:tcPr>
          <w:p w14:paraId="3F8833E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673B9EB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75440FF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F24855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53E1B014" w14:textId="77777777" w:rsidTr="009A58B0">
        <w:trPr>
          <w:trHeight w:val="290"/>
        </w:trPr>
        <w:tc>
          <w:tcPr>
            <w:tcW w:w="2379" w:type="pct"/>
            <w:tcBorders>
              <w:top w:val="single" w:sz="4" w:space="0" w:color="8ED973"/>
              <w:left w:val="single" w:sz="4" w:space="0" w:color="4EA72E"/>
              <w:bottom w:val="nil"/>
              <w:right w:val="nil"/>
            </w:tcBorders>
            <w:hideMark/>
          </w:tcPr>
          <w:p w14:paraId="439BB1E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nekvalifikovaných učitelů 2. st. ZŠ</w:t>
            </w:r>
          </w:p>
        </w:tc>
        <w:tc>
          <w:tcPr>
            <w:tcW w:w="648" w:type="pct"/>
            <w:tcBorders>
              <w:top w:val="single" w:sz="4" w:space="0" w:color="8ED973"/>
              <w:left w:val="nil"/>
              <w:bottom w:val="nil"/>
              <w:right w:val="nil"/>
            </w:tcBorders>
            <w:noWrap/>
            <w:hideMark/>
          </w:tcPr>
          <w:p w14:paraId="4704A27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17D8936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6A9AD14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05B268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63AEE798" w14:textId="77777777" w:rsidTr="009A58B0">
        <w:trPr>
          <w:trHeight w:val="290"/>
        </w:trPr>
        <w:tc>
          <w:tcPr>
            <w:tcW w:w="2379" w:type="pct"/>
            <w:tcBorders>
              <w:top w:val="single" w:sz="4" w:space="0" w:color="8ED973"/>
              <w:left w:val="single" w:sz="4" w:space="0" w:color="4EA72E"/>
              <w:bottom w:val="nil"/>
              <w:right w:val="nil"/>
            </w:tcBorders>
            <w:hideMark/>
          </w:tcPr>
          <w:p w14:paraId="142CE17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nekvalifikovaných učitelů SŠ</w:t>
            </w:r>
          </w:p>
        </w:tc>
        <w:tc>
          <w:tcPr>
            <w:tcW w:w="648" w:type="pct"/>
            <w:tcBorders>
              <w:top w:val="single" w:sz="4" w:space="0" w:color="8ED973"/>
              <w:left w:val="nil"/>
              <w:bottom w:val="nil"/>
              <w:right w:val="nil"/>
            </w:tcBorders>
            <w:noWrap/>
            <w:hideMark/>
          </w:tcPr>
          <w:p w14:paraId="18D2187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Pracovníci ve školství</w:t>
            </w:r>
          </w:p>
        </w:tc>
        <w:tc>
          <w:tcPr>
            <w:tcW w:w="1224" w:type="pct"/>
            <w:tcBorders>
              <w:top w:val="single" w:sz="4" w:space="0" w:color="8ED973"/>
              <w:left w:val="nil"/>
              <w:bottom w:val="nil"/>
              <w:right w:val="nil"/>
            </w:tcBorders>
            <w:noWrap/>
            <w:hideMark/>
          </w:tcPr>
          <w:p w14:paraId="4F00D08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Učitelé</w:t>
            </w:r>
          </w:p>
        </w:tc>
        <w:tc>
          <w:tcPr>
            <w:tcW w:w="511" w:type="pct"/>
            <w:tcBorders>
              <w:top w:val="single" w:sz="4" w:space="0" w:color="8ED973"/>
              <w:left w:val="nil"/>
              <w:bottom w:val="nil"/>
              <w:right w:val="nil"/>
            </w:tcBorders>
            <w:noWrap/>
            <w:hideMark/>
          </w:tcPr>
          <w:p w14:paraId="6D4D130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40DFC5A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6C5EB15D" w14:textId="77777777" w:rsidTr="009A58B0">
        <w:trPr>
          <w:trHeight w:val="520"/>
        </w:trPr>
        <w:tc>
          <w:tcPr>
            <w:tcW w:w="2379" w:type="pct"/>
            <w:tcBorders>
              <w:top w:val="single" w:sz="4" w:space="0" w:color="8ED973"/>
              <w:left w:val="single" w:sz="4" w:space="0" w:color="4EA72E"/>
              <w:bottom w:val="nil"/>
              <w:right w:val="nil"/>
            </w:tcBorders>
            <w:hideMark/>
          </w:tcPr>
          <w:p w14:paraId="47F78E1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absolventů středního vzdělávání v oborech bez výučního listu a maturity v denní formě vzdělávání</w:t>
            </w:r>
          </w:p>
        </w:tc>
        <w:tc>
          <w:tcPr>
            <w:tcW w:w="648" w:type="pct"/>
            <w:tcBorders>
              <w:top w:val="single" w:sz="4" w:space="0" w:color="8ED973"/>
              <w:left w:val="nil"/>
              <w:bottom w:val="nil"/>
              <w:right w:val="nil"/>
            </w:tcBorders>
            <w:noWrap/>
            <w:hideMark/>
          </w:tcPr>
          <w:p w14:paraId="7F1289A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536C2B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Absolventi</w:t>
            </w:r>
          </w:p>
        </w:tc>
        <w:tc>
          <w:tcPr>
            <w:tcW w:w="511" w:type="pct"/>
            <w:tcBorders>
              <w:top w:val="single" w:sz="4" w:space="0" w:color="8ED973"/>
              <w:left w:val="nil"/>
              <w:bottom w:val="nil"/>
              <w:right w:val="nil"/>
            </w:tcBorders>
            <w:noWrap/>
            <w:hideMark/>
          </w:tcPr>
          <w:p w14:paraId="20D8255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F1E66E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513F6604" w14:textId="77777777" w:rsidTr="009A58B0">
        <w:trPr>
          <w:trHeight w:val="520"/>
        </w:trPr>
        <w:tc>
          <w:tcPr>
            <w:tcW w:w="2379" w:type="pct"/>
            <w:tcBorders>
              <w:top w:val="single" w:sz="4" w:space="0" w:color="8ED973"/>
              <w:left w:val="single" w:sz="4" w:space="0" w:color="4EA72E"/>
              <w:bottom w:val="nil"/>
              <w:right w:val="nil"/>
            </w:tcBorders>
            <w:hideMark/>
          </w:tcPr>
          <w:p w14:paraId="07C729E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nově přijatých žáků do 1. ročníku středního vzdělávání s maturitní zkouškou v gymnaziálních oborech v denní formě vzdělávání</w:t>
            </w:r>
          </w:p>
        </w:tc>
        <w:tc>
          <w:tcPr>
            <w:tcW w:w="648" w:type="pct"/>
            <w:tcBorders>
              <w:top w:val="single" w:sz="4" w:space="0" w:color="8ED973"/>
              <w:left w:val="nil"/>
              <w:bottom w:val="nil"/>
              <w:right w:val="nil"/>
            </w:tcBorders>
            <w:noWrap/>
            <w:hideMark/>
          </w:tcPr>
          <w:p w14:paraId="7E9E888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2E9BE6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7C3A30F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F761CE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511726EB" w14:textId="77777777" w:rsidTr="009A58B0">
        <w:trPr>
          <w:trHeight w:val="520"/>
        </w:trPr>
        <w:tc>
          <w:tcPr>
            <w:tcW w:w="2379" w:type="pct"/>
            <w:tcBorders>
              <w:top w:val="single" w:sz="4" w:space="0" w:color="8ED973"/>
              <w:left w:val="single" w:sz="4" w:space="0" w:color="4EA72E"/>
              <w:bottom w:val="nil"/>
              <w:right w:val="nil"/>
            </w:tcBorders>
            <w:hideMark/>
          </w:tcPr>
          <w:p w14:paraId="083985B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nově přijatých žáků do 1. ročníku středního vzdělávání s výučním listem v denní formě vzdělávání</w:t>
            </w:r>
          </w:p>
        </w:tc>
        <w:tc>
          <w:tcPr>
            <w:tcW w:w="648" w:type="pct"/>
            <w:tcBorders>
              <w:top w:val="single" w:sz="4" w:space="0" w:color="8ED973"/>
              <w:left w:val="nil"/>
              <w:bottom w:val="nil"/>
              <w:right w:val="nil"/>
            </w:tcBorders>
            <w:noWrap/>
            <w:hideMark/>
          </w:tcPr>
          <w:p w14:paraId="21CB844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179ED75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43B6D60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583DACB3"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40544CEB" w14:textId="77777777" w:rsidTr="009A58B0">
        <w:trPr>
          <w:trHeight w:val="520"/>
        </w:trPr>
        <w:tc>
          <w:tcPr>
            <w:tcW w:w="2379" w:type="pct"/>
            <w:tcBorders>
              <w:top w:val="single" w:sz="4" w:space="0" w:color="8ED973"/>
              <w:left w:val="single" w:sz="4" w:space="0" w:color="4EA72E"/>
              <w:bottom w:val="nil"/>
              <w:right w:val="nil"/>
            </w:tcBorders>
            <w:hideMark/>
          </w:tcPr>
          <w:p w14:paraId="003CE1B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nově přijatých žáků do 1. ročníku středního vzdělávání bez výučního listu a maturity v denní formě vzdělávání</w:t>
            </w:r>
          </w:p>
        </w:tc>
        <w:tc>
          <w:tcPr>
            <w:tcW w:w="648" w:type="pct"/>
            <w:tcBorders>
              <w:top w:val="single" w:sz="4" w:space="0" w:color="8ED973"/>
              <w:left w:val="nil"/>
              <w:bottom w:val="nil"/>
              <w:right w:val="nil"/>
            </w:tcBorders>
            <w:noWrap/>
            <w:hideMark/>
          </w:tcPr>
          <w:p w14:paraId="3AAAC80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44C852A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Přijímání ke vzdělávání</w:t>
            </w:r>
          </w:p>
        </w:tc>
        <w:tc>
          <w:tcPr>
            <w:tcW w:w="511" w:type="pct"/>
            <w:tcBorders>
              <w:top w:val="single" w:sz="4" w:space="0" w:color="8ED973"/>
              <w:left w:val="nil"/>
              <w:bottom w:val="nil"/>
              <w:right w:val="nil"/>
            </w:tcBorders>
            <w:noWrap/>
            <w:hideMark/>
          </w:tcPr>
          <w:p w14:paraId="54182CB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3E78EE2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37F91D03" w14:textId="77777777" w:rsidTr="009A58B0">
        <w:trPr>
          <w:trHeight w:val="290"/>
        </w:trPr>
        <w:tc>
          <w:tcPr>
            <w:tcW w:w="2379" w:type="pct"/>
            <w:tcBorders>
              <w:top w:val="single" w:sz="4" w:space="0" w:color="8ED973"/>
              <w:left w:val="single" w:sz="4" w:space="0" w:color="4EA72E"/>
              <w:bottom w:val="nil"/>
              <w:right w:val="nil"/>
            </w:tcBorders>
            <w:hideMark/>
          </w:tcPr>
          <w:p w14:paraId="7D17A08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dětí ve věku 3 let navštěvujících MŠ z dané věkové skupiny</w:t>
            </w:r>
          </w:p>
        </w:tc>
        <w:tc>
          <w:tcPr>
            <w:tcW w:w="648" w:type="pct"/>
            <w:tcBorders>
              <w:top w:val="single" w:sz="4" w:space="0" w:color="8ED973"/>
              <w:left w:val="nil"/>
              <w:bottom w:val="nil"/>
              <w:right w:val="nil"/>
            </w:tcBorders>
            <w:noWrap/>
            <w:hideMark/>
          </w:tcPr>
          <w:p w14:paraId="0E76F82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051A82D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6519BB4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2731AE5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24115C04" w14:textId="77777777" w:rsidTr="009A58B0">
        <w:trPr>
          <w:trHeight w:val="520"/>
        </w:trPr>
        <w:tc>
          <w:tcPr>
            <w:tcW w:w="2379" w:type="pct"/>
            <w:tcBorders>
              <w:top w:val="single" w:sz="4" w:space="0" w:color="8ED973"/>
              <w:left w:val="single" w:sz="4" w:space="0" w:color="4EA72E"/>
              <w:bottom w:val="nil"/>
              <w:right w:val="nil"/>
            </w:tcBorders>
            <w:hideMark/>
          </w:tcPr>
          <w:p w14:paraId="6ADACFC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dětí ve věku 6 let navštěvujících zařízení předškolního vzdělávání z dané věkové skupiny</w:t>
            </w:r>
          </w:p>
        </w:tc>
        <w:tc>
          <w:tcPr>
            <w:tcW w:w="648" w:type="pct"/>
            <w:tcBorders>
              <w:top w:val="single" w:sz="4" w:space="0" w:color="8ED973"/>
              <w:left w:val="nil"/>
              <w:bottom w:val="nil"/>
              <w:right w:val="nil"/>
            </w:tcBorders>
            <w:noWrap/>
            <w:hideMark/>
          </w:tcPr>
          <w:p w14:paraId="676227B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3B9B4FB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04DA89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4E4ABBB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5620FCCF" w14:textId="77777777" w:rsidTr="009A58B0">
        <w:trPr>
          <w:trHeight w:val="290"/>
        </w:trPr>
        <w:tc>
          <w:tcPr>
            <w:tcW w:w="2379" w:type="pct"/>
            <w:tcBorders>
              <w:top w:val="single" w:sz="4" w:space="0" w:color="8ED973"/>
              <w:left w:val="single" w:sz="4" w:space="0" w:color="4EA72E"/>
              <w:bottom w:val="nil"/>
              <w:right w:val="nil"/>
            </w:tcBorders>
            <w:hideMark/>
          </w:tcPr>
          <w:p w14:paraId="4903BFD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dětí ve speciálních třídách MŠ</w:t>
            </w:r>
          </w:p>
        </w:tc>
        <w:tc>
          <w:tcPr>
            <w:tcW w:w="648" w:type="pct"/>
            <w:tcBorders>
              <w:top w:val="single" w:sz="4" w:space="0" w:color="8ED973"/>
              <w:left w:val="nil"/>
              <w:bottom w:val="nil"/>
              <w:right w:val="nil"/>
            </w:tcBorders>
            <w:noWrap/>
            <w:hideMark/>
          </w:tcPr>
          <w:p w14:paraId="2FE2C83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2A2883A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6F509AE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025370F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3D890144" w14:textId="77777777" w:rsidTr="009A58B0">
        <w:trPr>
          <w:trHeight w:val="520"/>
        </w:trPr>
        <w:tc>
          <w:tcPr>
            <w:tcW w:w="2379" w:type="pct"/>
            <w:tcBorders>
              <w:top w:val="single" w:sz="4" w:space="0" w:color="8ED973"/>
              <w:left w:val="single" w:sz="4" w:space="0" w:color="4EA72E"/>
              <w:bottom w:val="nil"/>
              <w:right w:val="nil"/>
            </w:tcBorders>
            <w:hideMark/>
          </w:tcPr>
          <w:p w14:paraId="4A8F659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dětí ve věku 3-5 let navštěvujících předškolní vzdělávání z dané věkové skupiny</w:t>
            </w:r>
          </w:p>
        </w:tc>
        <w:tc>
          <w:tcPr>
            <w:tcW w:w="648" w:type="pct"/>
            <w:tcBorders>
              <w:top w:val="single" w:sz="4" w:space="0" w:color="8ED973"/>
              <w:left w:val="nil"/>
              <w:bottom w:val="nil"/>
              <w:right w:val="nil"/>
            </w:tcBorders>
            <w:noWrap/>
            <w:hideMark/>
          </w:tcPr>
          <w:p w14:paraId="7A3870B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 na vzdělávání</w:t>
            </w:r>
          </w:p>
        </w:tc>
        <w:tc>
          <w:tcPr>
            <w:tcW w:w="1224" w:type="pct"/>
            <w:tcBorders>
              <w:top w:val="single" w:sz="4" w:space="0" w:color="8ED973"/>
              <w:left w:val="nil"/>
              <w:bottom w:val="nil"/>
              <w:right w:val="nil"/>
            </w:tcBorders>
            <w:noWrap/>
            <w:hideMark/>
          </w:tcPr>
          <w:p w14:paraId="624A400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Účastníci vzdělávání</w:t>
            </w:r>
          </w:p>
        </w:tc>
        <w:tc>
          <w:tcPr>
            <w:tcW w:w="511" w:type="pct"/>
            <w:tcBorders>
              <w:top w:val="single" w:sz="4" w:space="0" w:color="8ED973"/>
              <w:left w:val="nil"/>
              <w:bottom w:val="nil"/>
              <w:right w:val="nil"/>
            </w:tcBorders>
            <w:noWrap/>
            <w:hideMark/>
          </w:tcPr>
          <w:p w14:paraId="5586408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MŠ</w:t>
            </w:r>
          </w:p>
        </w:tc>
        <w:tc>
          <w:tcPr>
            <w:tcW w:w="239" w:type="pct"/>
            <w:tcBorders>
              <w:top w:val="single" w:sz="4" w:space="0" w:color="8ED973"/>
              <w:left w:val="nil"/>
              <w:bottom w:val="nil"/>
              <w:right w:val="single" w:sz="4" w:space="0" w:color="4EA72E"/>
            </w:tcBorders>
            <w:noWrap/>
            <w:hideMark/>
          </w:tcPr>
          <w:p w14:paraId="1A655C0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7D2C9C51" w14:textId="77777777" w:rsidTr="009A58B0">
        <w:trPr>
          <w:trHeight w:val="290"/>
        </w:trPr>
        <w:tc>
          <w:tcPr>
            <w:tcW w:w="2379" w:type="pct"/>
            <w:tcBorders>
              <w:top w:val="single" w:sz="4" w:space="0" w:color="8ED973"/>
              <w:left w:val="single" w:sz="4" w:space="0" w:color="4EA72E"/>
              <w:bottom w:val="nil"/>
              <w:right w:val="nil"/>
            </w:tcBorders>
            <w:hideMark/>
          </w:tcPr>
          <w:p w14:paraId="4C025D6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lastRenderedPageBreak/>
              <w:t>Absolutní úspěšnost maturantů k celkovému počtu maturantů</w:t>
            </w:r>
          </w:p>
        </w:tc>
        <w:tc>
          <w:tcPr>
            <w:tcW w:w="648" w:type="pct"/>
            <w:tcBorders>
              <w:top w:val="single" w:sz="4" w:space="0" w:color="8ED973"/>
              <w:left w:val="nil"/>
              <w:bottom w:val="nil"/>
              <w:right w:val="nil"/>
            </w:tcBorders>
            <w:noWrap/>
            <w:hideMark/>
          </w:tcPr>
          <w:p w14:paraId="11C702A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1ABCA0C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Maturitní zkouška</w:t>
            </w:r>
          </w:p>
        </w:tc>
        <w:tc>
          <w:tcPr>
            <w:tcW w:w="511" w:type="pct"/>
            <w:tcBorders>
              <w:top w:val="single" w:sz="4" w:space="0" w:color="8ED973"/>
              <w:left w:val="nil"/>
              <w:bottom w:val="nil"/>
              <w:right w:val="nil"/>
            </w:tcBorders>
            <w:noWrap/>
            <w:hideMark/>
          </w:tcPr>
          <w:p w14:paraId="51708DF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602315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781A7858" w14:textId="77777777" w:rsidTr="009A58B0">
        <w:trPr>
          <w:trHeight w:val="290"/>
        </w:trPr>
        <w:tc>
          <w:tcPr>
            <w:tcW w:w="2379" w:type="pct"/>
            <w:tcBorders>
              <w:top w:val="single" w:sz="4" w:space="0" w:color="8ED973"/>
              <w:left w:val="single" w:sz="4" w:space="0" w:color="4EA72E"/>
              <w:bottom w:val="nil"/>
              <w:right w:val="nil"/>
            </w:tcBorders>
            <w:hideMark/>
          </w:tcPr>
          <w:p w14:paraId="3375BFF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 xml:space="preserve">Podíl úspěšných </w:t>
            </w:r>
            <w:proofErr w:type="spellStart"/>
            <w:r w:rsidRPr="00BC25EA">
              <w:rPr>
                <w:rFonts w:eastAsia="Times New Roman" w:cs="Calibri"/>
                <w:color w:val="000000"/>
                <w:sz w:val="20"/>
                <w:szCs w:val="20"/>
                <w:lang w:eastAsia="cs-CZ"/>
              </w:rPr>
              <w:t>prvomaturantů</w:t>
            </w:r>
            <w:proofErr w:type="spellEnd"/>
            <w:r w:rsidRPr="00BC25EA">
              <w:rPr>
                <w:rFonts w:eastAsia="Times New Roman" w:cs="Calibri"/>
                <w:color w:val="000000"/>
                <w:sz w:val="20"/>
                <w:szCs w:val="20"/>
                <w:lang w:eastAsia="cs-CZ"/>
              </w:rPr>
              <w:t xml:space="preserve"> k celkovému počtu maturantů</w:t>
            </w:r>
          </w:p>
        </w:tc>
        <w:tc>
          <w:tcPr>
            <w:tcW w:w="648" w:type="pct"/>
            <w:tcBorders>
              <w:top w:val="single" w:sz="4" w:space="0" w:color="8ED973"/>
              <w:left w:val="nil"/>
              <w:bottom w:val="nil"/>
              <w:right w:val="nil"/>
            </w:tcBorders>
            <w:noWrap/>
            <w:hideMark/>
          </w:tcPr>
          <w:p w14:paraId="4752605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3E46BBE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Maturitní zkouška</w:t>
            </w:r>
          </w:p>
        </w:tc>
        <w:tc>
          <w:tcPr>
            <w:tcW w:w="511" w:type="pct"/>
            <w:tcBorders>
              <w:top w:val="single" w:sz="4" w:space="0" w:color="8ED973"/>
              <w:left w:val="nil"/>
              <w:bottom w:val="nil"/>
              <w:right w:val="nil"/>
            </w:tcBorders>
            <w:noWrap/>
            <w:hideMark/>
          </w:tcPr>
          <w:p w14:paraId="3AA26B2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03F5646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5FA7760F" w14:textId="77777777" w:rsidTr="009A58B0">
        <w:trPr>
          <w:trHeight w:val="520"/>
        </w:trPr>
        <w:tc>
          <w:tcPr>
            <w:tcW w:w="2379" w:type="pct"/>
            <w:tcBorders>
              <w:top w:val="single" w:sz="4" w:space="0" w:color="8ED973"/>
              <w:left w:val="single" w:sz="4" w:space="0" w:color="4EA72E"/>
              <w:bottom w:val="nil"/>
              <w:right w:val="nil"/>
            </w:tcBorders>
            <w:hideMark/>
          </w:tcPr>
          <w:p w14:paraId="2A87C48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Průměrný výsledek žáků 8. tříd ZŠ v testech přírodovědné dovednosti (TIMSS)</w:t>
            </w:r>
          </w:p>
        </w:tc>
        <w:tc>
          <w:tcPr>
            <w:tcW w:w="648" w:type="pct"/>
            <w:tcBorders>
              <w:top w:val="single" w:sz="4" w:space="0" w:color="8ED973"/>
              <w:left w:val="nil"/>
              <w:bottom w:val="nil"/>
              <w:right w:val="nil"/>
            </w:tcBorders>
            <w:noWrap/>
            <w:hideMark/>
          </w:tcPr>
          <w:p w14:paraId="358A382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1298AE8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066BFE4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807D5F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31B5D3F9" w14:textId="77777777" w:rsidTr="009A58B0">
        <w:trPr>
          <w:trHeight w:val="290"/>
        </w:trPr>
        <w:tc>
          <w:tcPr>
            <w:tcW w:w="2379" w:type="pct"/>
            <w:tcBorders>
              <w:top w:val="single" w:sz="4" w:space="0" w:color="8ED973"/>
              <w:left w:val="single" w:sz="4" w:space="0" w:color="4EA72E"/>
              <w:bottom w:val="nil"/>
              <w:right w:val="nil"/>
            </w:tcBorders>
            <w:hideMark/>
          </w:tcPr>
          <w:p w14:paraId="366912D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Průměrný výsledek 15letých v testech čtenářské gramotnosti (PISA)</w:t>
            </w:r>
          </w:p>
        </w:tc>
        <w:tc>
          <w:tcPr>
            <w:tcW w:w="648" w:type="pct"/>
            <w:tcBorders>
              <w:top w:val="single" w:sz="4" w:space="0" w:color="8ED973"/>
              <w:left w:val="nil"/>
              <w:bottom w:val="nil"/>
              <w:right w:val="nil"/>
            </w:tcBorders>
            <w:noWrap/>
            <w:hideMark/>
          </w:tcPr>
          <w:p w14:paraId="780573F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043E8FB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6F1D2AB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CFD6FC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1BE11979" w14:textId="77777777" w:rsidTr="009A58B0">
        <w:trPr>
          <w:trHeight w:val="520"/>
        </w:trPr>
        <w:tc>
          <w:tcPr>
            <w:tcW w:w="2379" w:type="pct"/>
            <w:tcBorders>
              <w:top w:val="single" w:sz="4" w:space="0" w:color="8ED973"/>
              <w:left w:val="single" w:sz="4" w:space="0" w:color="4EA72E"/>
              <w:bottom w:val="nil"/>
              <w:right w:val="nil"/>
            </w:tcBorders>
            <w:hideMark/>
          </w:tcPr>
          <w:p w14:paraId="2791D78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Průměrný výsledek žáků 8. tříd ZŠ v testech matematické dovednosti (TIMSS)</w:t>
            </w:r>
          </w:p>
        </w:tc>
        <w:tc>
          <w:tcPr>
            <w:tcW w:w="648" w:type="pct"/>
            <w:tcBorders>
              <w:top w:val="single" w:sz="4" w:space="0" w:color="8ED973"/>
              <w:left w:val="nil"/>
              <w:bottom w:val="nil"/>
              <w:right w:val="nil"/>
            </w:tcBorders>
            <w:noWrap/>
            <w:hideMark/>
          </w:tcPr>
          <w:p w14:paraId="2105B78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735F527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Mezinárodní šetření</w:t>
            </w:r>
          </w:p>
        </w:tc>
        <w:tc>
          <w:tcPr>
            <w:tcW w:w="511" w:type="pct"/>
            <w:tcBorders>
              <w:top w:val="single" w:sz="4" w:space="0" w:color="8ED973"/>
              <w:left w:val="nil"/>
              <w:bottom w:val="nil"/>
              <w:right w:val="nil"/>
            </w:tcBorders>
            <w:noWrap/>
            <w:hideMark/>
          </w:tcPr>
          <w:p w14:paraId="2AEBB2E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F3B9573"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22BFC198" w14:textId="77777777" w:rsidTr="009A58B0">
        <w:trPr>
          <w:trHeight w:val="520"/>
        </w:trPr>
        <w:tc>
          <w:tcPr>
            <w:tcW w:w="2379" w:type="pct"/>
            <w:tcBorders>
              <w:top w:val="single" w:sz="4" w:space="0" w:color="8ED973"/>
              <w:left w:val="single" w:sz="4" w:space="0" w:color="4EA72E"/>
              <w:bottom w:val="nil"/>
              <w:right w:val="nil"/>
            </w:tcBorders>
            <w:hideMark/>
          </w:tcPr>
          <w:p w14:paraId="259AEF6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9. tříd ZŠ v českém jazyce v nejvyšší úrovni výsledků (1. úroveň)</w:t>
            </w:r>
          </w:p>
        </w:tc>
        <w:tc>
          <w:tcPr>
            <w:tcW w:w="648" w:type="pct"/>
            <w:tcBorders>
              <w:top w:val="single" w:sz="4" w:space="0" w:color="8ED973"/>
              <w:left w:val="nil"/>
              <w:bottom w:val="nil"/>
              <w:right w:val="nil"/>
            </w:tcBorders>
            <w:noWrap/>
            <w:hideMark/>
          </w:tcPr>
          <w:p w14:paraId="43DE2D7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3D82DDC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Národní zjišťování</w:t>
            </w:r>
          </w:p>
        </w:tc>
        <w:tc>
          <w:tcPr>
            <w:tcW w:w="511" w:type="pct"/>
            <w:tcBorders>
              <w:top w:val="single" w:sz="4" w:space="0" w:color="8ED973"/>
              <w:left w:val="nil"/>
              <w:bottom w:val="nil"/>
              <w:right w:val="nil"/>
            </w:tcBorders>
            <w:noWrap/>
            <w:hideMark/>
          </w:tcPr>
          <w:p w14:paraId="6084352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4AF7E2A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6BEB7955" w14:textId="77777777" w:rsidTr="009A58B0">
        <w:trPr>
          <w:trHeight w:val="290"/>
        </w:trPr>
        <w:tc>
          <w:tcPr>
            <w:tcW w:w="2379" w:type="pct"/>
            <w:tcBorders>
              <w:top w:val="single" w:sz="4" w:space="0" w:color="8ED973"/>
              <w:left w:val="single" w:sz="4" w:space="0" w:color="4EA72E"/>
              <w:bottom w:val="nil"/>
              <w:right w:val="nil"/>
            </w:tcBorders>
            <w:hideMark/>
          </w:tcPr>
          <w:p w14:paraId="3172A74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9. tříd ZŠ v matematice v nejvyšší úrovni výsledků (1. úroveň)</w:t>
            </w:r>
          </w:p>
        </w:tc>
        <w:tc>
          <w:tcPr>
            <w:tcW w:w="648" w:type="pct"/>
            <w:tcBorders>
              <w:top w:val="single" w:sz="4" w:space="0" w:color="8ED973"/>
              <w:left w:val="nil"/>
              <w:bottom w:val="nil"/>
              <w:right w:val="nil"/>
            </w:tcBorders>
            <w:noWrap/>
            <w:hideMark/>
          </w:tcPr>
          <w:p w14:paraId="16883E7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03D01AE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Národní zjišťování</w:t>
            </w:r>
          </w:p>
        </w:tc>
        <w:tc>
          <w:tcPr>
            <w:tcW w:w="511" w:type="pct"/>
            <w:tcBorders>
              <w:top w:val="single" w:sz="4" w:space="0" w:color="8ED973"/>
              <w:left w:val="nil"/>
              <w:bottom w:val="nil"/>
              <w:right w:val="nil"/>
            </w:tcBorders>
            <w:noWrap/>
            <w:hideMark/>
          </w:tcPr>
          <w:p w14:paraId="61A46C4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7BD9C1C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6E094540" w14:textId="77777777" w:rsidTr="009A58B0">
        <w:trPr>
          <w:trHeight w:val="290"/>
        </w:trPr>
        <w:tc>
          <w:tcPr>
            <w:tcW w:w="2379" w:type="pct"/>
            <w:tcBorders>
              <w:top w:val="single" w:sz="4" w:space="0" w:color="8ED973"/>
              <w:left w:val="single" w:sz="4" w:space="0" w:color="4EA72E"/>
              <w:bottom w:val="nil"/>
              <w:right w:val="nil"/>
            </w:tcBorders>
            <w:hideMark/>
          </w:tcPr>
          <w:p w14:paraId="439A98E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5. tříd ZŠ v českém jazyce v nejnižší úrovni výsledků (4. úroveň)</w:t>
            </w:r>
          </w:p>
        </w:tc>
        <w:tc>
          <w:tcPr>
            <w:tcW w:w="648" w:type="pct"/>
            <w:tcBorders>
              <w:top w:val="single" w:sz="4" w:space="0" w:color="8ED973"/>
              <w:left w:val="nil"/>
              <w:bottom w:val="nil"/>
              <w:right w:val="nil"/>
            </w:tcBorders>
            <w:noWrap/>
            <w:hideMark/>
          </w:tcPr>
          <w:p w14:paraId="1CE8CCD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2A06C4F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Národní zjišťování</w:t>
            </w:r>
          </w:p>
        </w:tc>
        <w:tc>
          <w:tcPr>
            <w:tcW w:w="511" w:type="pct"/>
            <w:tcBorders>
              <w:top w:val="single" w:sz="4" w:space="0" w:color="8ED973"/>
              <w:left w:val="nil"/>
              <w:bottom w:val="nil"/>
              <w:right w:val="nil"/>
            </w:tcBorders>
            <w:noWrap/>
            <w:hideMark/>
          </w:tcPr>
          <w:p w14:paraId="60BF43C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497C91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1C3138F2" w14:textId="77777777" w:rsidTr="009A58B0">
        <w:trPr>
          <w:trHeight w:val="290"/>
        </w:trPr>
        <w:tc>
          <w:tcPr>
            <w:tcW w:w="2379" w:type="pct"/>
            <w:tcBorders>
              <w:top w:val="single" w:sz="4" w:space="0" w:color="8ED973"/>
              <w:left w:val="single" w:sz="4" w:space="0" w:color="4EA72E"/>
              <w:bottom w:val="nil"/>
              <w:right w:val="nil"/>
            </w:tcBorders>
            <w:hideMark/>
          </w:tcPr>
          <w:p w14:paraId="74B28B4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5. tříd ZŠ v matematice v nejnižší úrovni výsledků (4. úroveň)</w:t>
            </w:r>
          </w:p>
        </w:tc>
        <w:tc>
          <w:tcPr>
            <w:tcW w:w="648" w:type="pct"/>
            <w:tcBorders>
              <w:top w:val="single" w:sz="4" w:space="0" w:color="8ED973"/>
              <w:left w:val="nil"/>
              <w:bottom w:val="nil"/>
              <w:right w:val="nil"/>
            </w:tcBorders>
            <w:noWrap/>
            <w:hideMark/>
          </w:tcPr>
          <w:p w14:paraId="00970E4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3E0B4C4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Národní zjišťování</w:t>
            </w:r>
          </w:p>
        </w:tc>
        <w:tc>
          <w:tcPr>
            <w:tcW w:w="511" w:type="pct"/>
            <w:tcBorders>
              <w:top w:val="single" w:sz="4" w:space="0" w:color="8ED973"/>
              <w:left w:val="nil"/>
              <w:bottom w:val="nil"/>
              <w:right w:val="nil"/>
            </w:tcBorders>
            <w:noWrap/>
            <w:hideMark/>
          </w:tcPr>
          <w:p w14:paraId="527AFAA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2EE549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7FE18F6B" w14:textId="77777777" w:rsidTr="009A58B0">
        <w:trPr>
          <w:trHeight w:val="290"/>
        </w:trPr>
        <w:tc>
          <w:tcPr>
            <w:tcW w:w="2379" w:type="pct"/>
            <w:tcBorders>
              <w:top w:val="single" w:sz="4" w:space="0" w:color="8ED973"/>
              <w:left w:val="single" w:sz="4" w:space="0" w:color="4EA72E"/>
              <w:bottom w:val="nil"/>
              <w:right w:val="nil"/>
            </w:tcBorders>
            <w:hideMark/>
          </w:tcPr>
          <w:p w14:paraId="276265F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9. tříd ZŠ v českém jazyce v nejnižší úrovni výsledků (4. úroveň)</w:t>
            </w:r>
          </w:p>
        </w:tc>
        <w:tc>
          <w:tcPr>
            <w:tcW w:w="648" w:type="pct"/>
            <w:tcBorders>
              <w:top w:val="single" w:sz="4" w:space="0" w:color="8ED973"/>
              <w:left w:val="nil"/>
              <w:bottom w:val="nil"/>
              <w:right w:val="nil"/>
            </w:tcBorders>
            <w:noWrap/>
            <w:hideMark/>
          </w:tcPr>
          <w:p w14:paraId="04EDBA1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2F08377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Národní zjišťování</w:t>
            </w:r>
          </w:p>
        </w:tc>
        <w:tc>
          <w:tcPr>
            <w:tcW w:w="511" w:type="pct"/>
            <w:tcBorders>
              <w:top w:val="single" w:sz="4" w:space="0" w:color="8ED973"/>
              <w:left w:val="nil"/>
              <w:bottom w:val="nil"/>
              <w:right w:val="nil"/>
            </w:tcBorders>
            <w:noWrap/>
            <w:hideMark/>
          </w:tcPr>
          <w:p w14:paraId="6945359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F25956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20EC0F8A" w14:textId="77777777" w:rsidTr="009A58B0">
        <w:trPr>
          <w:trHeight w:val="290"/>
        </w:trPr>
        <w:tc>
          <w:tcPr>
            <w:tcW w:w="2379" w:type="pct"/>
            <w:tcBorders>
              <w:top w:val="single" w:sz="4" w:space="0" w:color="8ED973"/>
              <w:left w:val="single" w:sz="4" w:space="0" w:color="4EA72E"/>
              <w:bottom w:val="nil"/>
              <w:right w:val="nil"/>
            </w:tcBorders>
            <w:hideMark/>
          </w:tcPr>
          <w:p w14:paraId="0B47F78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9. tříd ZŠ v matematice v nejnižší úrovni výsledků (4. úroveň)</w:t>
            </w:r>
          </w:p>
        </w:tc>
        <w:tc>
          <w:tcPr>
            <w:tcW w:w="648" w:type="pct"/>
            <w:tcBorders>
              <w:top w:val="single" w:sz="4" w:space="0" w:color="8ED973"/>
              <w:left w:val="nil"/>
              <w:bottom w:val="nil"/>
              <w:right w:val="nil"/>
            </w:tcBorders>
            <w:noWrap/>
            <w:hideMark/>
          </w:tcPr>
          <w:p w14:paraId="62EEDE9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00DF033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Národní zjišťování</w:t>
            </w:r>
          </w:p>
        </w:tc>
        <w:tc>
          <w:tcPr>
            <w:tcW w:w="511" w:type="pct"/>
            <w:tcBorders>
              <w:top w:val="single" w:sz="4" w:space="0" w:color="8ED973"/>
              <w:left w:val="nil"/>
              <w:bottom w:val="nil"/>
              <w:right w:val="nil"/>
            </w:tcBorders>
            <w:noWrap/>
            <w:hideMark/>
          </w:tcPr>
          <w:p w14:paraId="068AB763"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12AA0E1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3916128E" w14:textId="77777777" w:rsidTr="009A58B0">
        <w:trPr>
          <w:trHeight w:val="290"/>
        </w:trPr>
        <w:tc>
          <w:tcPr>
            <w:tcW w:w="2379" w:type="pct"/>
            <w:tcBorders>
              <w:top w:val="single" w:sz="4" w:space="0" w:color="8ED973"/>
              <w:left w:val="single" w:sz="4" w:space="0" w:color="4EA72E"/>
              <w:bottom w:val="nil"/>
              <w:right w:val="nil"/>
            </w:tcBorders>
            <w:hideMark/>
          </w:tcPr>
          <w:p w14:paraId="1B1CE0A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opakujících ročník v ZŠ</w:t>
            </w:r>
          </w:p>
        </w:tc>
        <w:tc>
          <w:tcPr>
            <w:tcW w:w="648" w:type="pct"/>
            <w:tcBorders>
              <w:top w:val="single" w:sz="4" w:space="0" w:color="8ED973"/>
              <w:left w:val="nil"/>
              <w:bottom w:val="nil"/>
              <w:right w:val="nil"/>
            </w:tcBorders>
            <w:noWrap/>
            <w:hideMark/>
          </w:tcPr>
          <w:p w14:paraId="3DE34993"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538A5D4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7E2839B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683AF6A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329DF80E" w14:textId="77777777" w:rsidTr="009A58B0">
        <w:trPr>
          <w:trHeight w:val="290"/>
        </w:trPr>
        <w:tc>
          <w:tcPr>
            <w:tcW w:w="2379" w:type="pct"/>
            <w:tcBorders>
              <w:top w:val="single" w:sz="4" w:space="0" w:color="8ED973"/>
              <w:left w:val="single" w:sz="4" w:space="0" w:color="4EA72E"/>
              <w:bottom w:val="nil"/>
              <w:right w:val="nil"/>
            </w:tcBorders>
            <w:hideMark/>
          </w:tcPr>
          <w:p w14:paraId="1ED2A4E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opakujících ročník na 2. stupni ZŠ</w:t>
            </w:r>
          </w:p>
        </w:tc>
        <w:tc>
          <w:tcPr>
            <w:tcW w:w="648" w:type="pct"/>
            <w:tcBorders>
              <w:top w:val="single" w:sz="4" w:space="0" w:color="8ED973"/>
              <w:left w:val="nil"/>
              <w:bottom w:val="nil"/>
              <w:right w:val="nil"/>
            </w:tcBorders>
            <w:noWrap/>
            <w:hideMark/>
          </w:tcPr>
          <w:p w14:paraId="120D318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1F31A1F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4E1F7B1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8C1EC9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7FB9CEB4" w14:textId="77777777" w:rsidTr="009A58B0">
        <w:trPr>
          <w:trHeight w:val="290"/>
        </w:trPr>
        <w:tc>
          <w:tcPr>
            <w:tcW w:w="2379" w:type="pct"/>
            <w:tcBorders>
              <w:top w:val="single" w:sz="4" w:space="0" w:color="8ED973"/>
              <w:left w:val="single" w:sz="4" w:space="0" w:color="4EA72E"/>
              <w:bottom w:val="nil"/>
              <w:right w:val="nil"/>
            </w:tcBorders>
            <w:hideMark/>
          </w:tcPr>
          <w:p w14:paraId="71420873"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opakujících ročník v SŠ</w:t>
            </w:r>
          </w:p>
        </w:tc>
        <w:tc>
          <w:tcPr>
            <w:tcW w:w="648" w:type="pct"/>
            <w:tcBorders>
              <w:top w:val="single" w:sz="4" w:space="0" w:color="8ED973"/>
              <w:left w:val="nil"/>
              <w:bottom w:val="nil"/>
              <w:right w:val="nil"/>
            </w:tcBorders>
            <w:noWrap/>
            <w:hideMark/>
          </w:tcPr>
          <w:p w14:paraId="0D4B1C0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157F73A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5584236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494F3BE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5CDE16FA" w14:textId="77777777" w:rsidTr="009A58B0">
        <w:trPr>
          <w:trHeight w:val="290"/>
        </w:trPr>
        <w:tc>
          <w:tcPr>
            <w:tcW w:w="2379" w:type="pct"/>
            <w:tcBorders>
              <w:top w:val="single" w:sz="4" w:space="0" w:color="8ED973"/>
              <w:left w:val="single" w:sz="4" w:space="0" w:color="4EA72E"/>
              <w:bottom w:val="nil"/>
              <w:right w:val="nil"/>
            </w:tcBorders>
            <w:hideMark/>
          </w:tcPr>
          <w:p w14:paraId="163BBBA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opakujících ročník v SŠ v gymnaziálních oborech</w:t>
            </w:r>
          </w:p>
        </w:tc>
        <w:tc>
          <w:tcPr>
            <w:tcW w:w="648" w:type="pct"/>
            <w:tcBorders>
              <w:top w:val="single" w:sz="4" w:space="0" w:color="8ED973"/>
              <w:left w:val="nil"/>
              <w:bottom w:val="nil"/>
              <w:right w:val="nil"/>
            </w:tcBorders>
            <w:noWrap/>
            <w:hideMark/>
          </w:tcPr>
          <w:p w14:paraId="0C9B2E5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384E9C2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3ACA1D8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76DB79D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429F39D7" w14:textId="77777777" w:rsidTr="009A58B0">
        <w:trPr>
          <w:trHeight w:val="290"/>
        </w:trPr>
        <w:tc>
          <w:tcPr>
            <w:tcW w:w="2379" w:type="pct"/>
            <w:tcBorders>
              <w:top w:val="single" w:sz="4" w:space="0" w:color="8ED973"/>
              <w:left w:val="single" w:sz="4" w:space="0" w:color="4EA72E"/>
              <w:bottom w:val="nil"/>
              <w:right w:val="nil"/>
            </w:tcBorders>
            <w:hideMark/>
          </w:tcPr>
          <w:p w14:paraId="4F2467F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opakujících ročník v SŠ v maturitních negymnaziálních oborech</w:t>
            </w:r>
          </w:p>
        </w:tc>
        <w:tc>
          <w:tcPr>
            <w:tcW w:w="648" w:type="pct"/>
            <w:tcBorders>
              <w:top w:val="single" w:sz="4" w:space="0" w:color="8ED973"/>
              <w:left w:val="nil"/>
              <w:bottom w:val="nil"/>
              <w:right w:val="nil"/>
            </w:tcBorders>
            <w:noWrap/>
            <w:hideMark/>
          </w:tcPr>
          <w:p w14:paraId="42B60F5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5D77E39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Opakování ročníku</w:t>
            </w:r>
          </w:p>
        </w:tc>
        <w:tc>
          <w:tcPr>
            <w:tcW w:w="511" w:type="pct"/>
            <w:tcBorders>
              <w:top w:val="single" w:sz="4" w:space="0" w:color="8ED973"/>
              <w:left w:val="nil"/>
              <w:bottom w:val="nil"/>
              <w:right w:val="nil"/>
            </w:tcBorders>
            <w:noWrap/>
            <w:hideMark/>
          </w:tcPr>
          <w:p w14:paraId="5B63B16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1A9AE06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074AAA6C" w14:textId="77777777" w:rsidTr="009A58B0">
        <w:trPr>
          <w:trHeight w:val="520"/>
        </w:trPr>
        <w:tc>
          <w:tcPr>
            <w:tcW w:w="2379" w:type="pct"/>
            <w:tcBorders>
              <w:top w:val="single" w:sz="4" w:space="0" w:color="8ED973"/>
              <w:left w:val="single" w:sz="4" w:space="0" w:color="4EA72E"/>
              <w:bottom w:val="nil"/>
              <w:right w:val="nil"/>
            </w:tcBorders>
            <w:hideMark/>
          </w:tcPr>
          <w:p w14:paraId="717ABAF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odcházejících ze středního vzdělávání během prvního roku studia</w:t>
            </w:r>
          </w:p>
        </w:tc>
        <w:tc>
          <w:tcPr>
            <w:tcW w:w="648" w:type="pct"/>
            <w:tcBorders>
              <w:top w:val="single" w:sz="4" w:space="0" w:color="8ED973"/>
              <w:left w:val="nil"/>
              <w:bottom w:val="nil"/>
              <w:right w:val="nil"/>
            </w:tcBorders>
            <w:noWrap/>
            <w:hideMark/>
          </w:tcPr>
          <w:p w14:paraId="0C63184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50A73C86"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3AC9CDA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6AE2510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42559A68" w14:textId="77777777" w:rsidTr="009A58B0">
        <w:trPr>
          <w:trHeight w:val="520"/>
        </w:trPr>
        <w:tc>
          <w:tcPr>
            <w:tcW w:w="2379" w:type="pct"/>
            <w:tcBorders>
              <w:top w:val="single" w:sz="4" w:space="0" w:color="8ED973"/>
              <w:left w:val="single" w:sz="4" w:space="0" w:color="4EA72E"/>
              <w:bottom w:val="nil"/>
              <w:right w:val="nil"/>
            </w:tcBorders>
            <w:hideMark/>
          </w:tcPr>
          <w:p w14:paraId="5678ABE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odcházejících ze středoškolského vzdělání po dokončení prvního ročníku</w:t>
            </w:r>
          </w:p>
        </w:tc>
        <w:tc>
          <w:tcPr>
            <w:tcW w:w="648" w:type="pct"/>
            <w:tcBorders>
              <w:top w:val="single" w:sz="4" w:space="0" w:color="8ED973"/>
              <w:left w:val="nil"/>
              <w:bottom w:val="nil"/>
              <w:right w:val="nil"/>
            </w:tcBorders>
            <w:noWrap/>
            <w:hideMark/>
          </w:tcPr>
          <w:p w14:paraId="6E679F5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Výsledky vzdělávání</w:t>
            </w:r>
          </w:p>
        </w:tc>
        <w:tc>
          <w:tcPr>
            <w:tcW w:w="1224" w:type="pct"/>
            <w:tcBorders>
              <w:top w:val="single" w:sz="4" w:space="0" w:color="8ED973"/>
              <w:left w:val="nil"/>
              <w:bottom w:val="nil"/>
              <w:right w:val="nil"/>
            </w:tcBorders>
            <w:noWrap/>
            <w:hideMark/>
          </w:tcPr>
          <w:p w14:paraId="1859F34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Předčasné odchody</w:t>
            </w:r>
          </w:p>
        </w:tc>
        <w:tc>
          <w:tcPr>
            <w:tcW w:w="511" w:type="pct"/>
            <w:tcBorders>
              <w:top w:val="single" w:sz="4" w:space="0" w:color="8ED973"/>
              <w:left w:val="nil"/>
              <w:bottom w:val="nil"/>
              <w:right w:val="nil"/>
            </w:tcBorders>
            <w:noWrap/>
            <w:hideMark/>
          </w:tcPr>
          <w:p w14:paraId="4DD6B6B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SŠ</w:t>
            </w:r>
          </w:p>
        </w:tc>
        <w:tc>
          <w:tcPr>
            <w:tcW w:w="239" w:type="pct"/>
            <w:tcBorders>
              <w:top w:val="single" w:sz="4" w:space="0" w:color="8ED973"/>
              <w:left w:val="nil"/>
              <w:bottom w:val="nil"/>
              <w:right w:val="single" w:sz="4" w:space="0" w:color="4EA72E"/>
            </w:tcBorders>
            <w:noWrap/>
            <w:hideMark/>
          </w:tcPr>
          <w:p w14:paraId="412BA49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r w:rsidR="0024586E" w:rsidRPr="00BC25EA" w14:paraId="5ED827E9" w14:textId="77777777" w:rsidTr="009A58B0">
        <w:trPr>
          <w:trHeight w:val="290"/>
        </w:trPr>
        <w:tc>
          <w:tcPr>
            <w:tcW w:w="2379" w:type="pct"/>
            <w:tcBorders>
              <w:top w:val="single" w:sz="4" w:space="0" w:color="8ED973"/>
              <w:left w:val="single" w:sz="4" w:space="0" w:color="4EA72E"/>
              <w:bottom w:val="nil"/>
              <w:right w:val="nil"/>
            </w:tcBorders>
            <w:hideMark/>
          </w:tcPr>
          <w:p w14:paraId="69115D0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hodin, které byly odučeny učiteli aprobovanými pro daný předmět</w:t>
            </w:r>
          </w:p>
        </w:tc>
        <w:tc>
          <w:tcPr>
            <w:tcW w:w="648" w:type="pct"/>
            <w:tcBorders>
              <w:top w:val="single" w:sz="4" w:space="0" w:color="8ED973"/>
              <w:left w:val="nil"/>
              <w:bottom w:val="nil"/>
              <w:right w:val="nil"/>
            </w:tcBorders>
            <w:noWrap/>
            <w:hideMark/>
          </w:tcPr>
          <w:p w14:paraId="5A2B8A5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Výuka</w:t>
            </w:r>
          </w:p>
        </w:tc>
        <w:tc>
          <w:tcPr>
            <w:tcW w:w="1224" w:type="pct"/>
            <w:tcBorders>
              <w:top w:val="single" w:sz="4" w:space="0" w:color="8ED973"/>
              <w:left w:val="nil"/>
              <w:bottom w:val="nil"/>
              <w:right w:val="nil"/>
            </w:tcBorders>
            <w:noWrap/>
            <w:hideMark/>
          </w:tcPr>
          <w:p w14:paraId="53665A6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Aprobovanost</w:t>
            </w:r>
          </w:p>
        </w:tc>
        <w:tc>
          <w:tcPr>
            <w:tcW w:w="511" w:type="pct"/>
            <w:tcBorders>
              <w:top w:val="single" w:sz="4" w:space="0" w:color="8ED973"/>
              <w:left w:val="nil"/>
              <w:bottom w:val="nil"/>
              <w:right w:val="nil"/>
            </w:tcBorders>
            <w:noWrap/>
            <w:hideMark/>
          </w:tcPr>
          <w:p w14:paraId="18A63F5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3CD8A90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7CE52BF9" w14:textId="77777777" w:rsidTr="009A58B0">
        <w:trPr>
          <w:trHeight w:val="290"/>
        </w:trPr>
        <w:tc>
          <w:tcPr>
            <w:tcW w:w="2379" w:type="pct"/>
            <w:tcBorders>
              <w:top w:val="single" w:sz="4" w:space="0" w:color="8ED973"/>
              <w:left w:val="single" w:sz="4" w:space="0" w:color="4EA72E"/>
              <w:bottom w:val="nil"/>
              <w:right w:val="nil"/>
            </w:tcBorders>
            <w:hideMark/>
          </w:tcPr>
          <w:p w14:paraId="257FF75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Index šikany (TIMSS) - žáci 4. ročníků ZŠ</w:t>
            </w:r>
          </w:p>
        </w:tc>
        <w:tc>
          <w:tcPr>
            <w:tcW w:w="648" w:type="pct"/>
            <w:tcBorders>
              <w:top w:val="single" w:sz="4" w:space="0" w:color="8ED973"/>
              <w:left w:val="nil"/>
              <w:bottom w:val="nil"/>
              <w:right w:val="nil"/>
            </w:tcBorders>
            <w:noWrap/>
            <w:hideMark/>
          </w:tcPr>
          <w:p w14:paraId="39410C2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0F7B8FC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Index šikany</w:t>
            </w:r>
          </w:p>
        </w:tc>
        <w:tc>
          <w:tcPr>
            <w:tcW w:w="511" w:type="pct"/>
            <w:tcBorders>
              <w:top w:val="single" w:sz="4" w:space="0" w:color="8ED973"/>
              <w:left w:val="nil"/>
              <w:bottom w:val="nil"/>
              <w:right w:val="nil"/>
            </w:tcBorders>
            <w:noWrap/>
            <w:hideMark/>
          </w:tcPr>
          <w:p w14:paraId="1246AE5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3C9A0CA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7E6D7D86" w14:textId="77777777" w:rsidTr="009A58B0">
        <w:trPr>
          <w:trHeight w:val="290"/>
        </w:trPr>
        <w:tc>
          <w:tcPr>
            <w:tcW w:w="2379" w:type="pct"/>
            <w:tcBorders>
              <w:top w:val="single" w:sz="4" w:space="0" w:color="8ED973"/>
              <w:left w:val="single" w:sz="4" w:space="0" w:color="4EA72E"/>
              <w:bottom w:val="nil"/>
              <w:right w:val="nil"/>
            </w:tcBorders>
            <w:hideMark/>
          </w:tcPr>
          <w:p w14:paraId="7ED4FB92"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Pocit sounáležitosti TIMSS – žáci 4. ročníků ZŠ</w:t>
            </w:r>
          </w:p>
        </w:tc>
        <w:tc>
          <w:tcPr>
            <w:tcW w:w="648" w:type="pct"/>
            <w:tcBorders>
              <w:top w:val="single" w:sz="4" w:space="0" w:color="8ED973"/>
              <w:left w:val="nil"/>
              <w:bottom w:val="nil"/>
              <w:right w:val="nil"/>
            </w:tcBorders>
            <w:noWrap/>
            <w:hideMark/>
          </w:tcPr>
          <w:p w14:paraId="4BC403A7"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39CD01F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08D275C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CFDC4A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73130913" w14:textId="77777777" w:rsidTr="009A58B0">
        <w:trPr>
          <w:trHeight w:val="290"/>
        </w:trPr>
        <w:tc>
          <w:tcPr>
            <w:tcW w:w="2379" w:type="pct"/>
            <w:tcBorders>
              <w:top w:val="single" w:sz="4" w:space="0" w:color="8ED973"/>
              <w:left w:val="single" w:sz="4" w:space="0" w:color="4EA72E"/>
              <w:bottom w:val="nil"/>
              <w:right w:val="nil"/>
            </w:tcBorders>
            <w:hideMark/>
          </w:tcPr>
          <w:p w14:paraId="4975757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Index pocitu sounáležitosti (PISA, 15letí)</w:t>
            </w:r>
          </w:p>
        </w:tc>
        <w:tc>
          <w:tcPr>
            <w:tcW w:w="648" w:type="pct"/>
            <w:tcBorders>
              <w:top w:val="single" w:sz="4" w:space="0" w:color="8ED973"/>
              <w:left w:val="nil"/>
              <w:bottom w:val="nil"/>
              <w:right w:val="nil"/>
            </w:tcBorders>
            <w:noWrap/>
            <w:hideMark/>
          </w:tcPr>
          <w:p w14:paraId="3A29275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Well-being</w:t>
            </w:r>
          </w:p>
        </w:tc>
        <w:tc>
          <w:tcPr>
            <w:tcW w:w="1224" w:type="pct"/>
            <w:tcBorders>
              <w:top w:val="single" w:sz="4" w:space="0" w:color="8ED973"/>
              <w:left w:val="nil"/>
              <w:bottom w:val="nil"/>
              <w:right w:val="nil"/>
            </w:tcBorders>
            <w:noWrap/>
            <w:hideMark/>
          </w:tcPr>
          <w:p w14:paraId="57D6C96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Sounáležitost se školou</w:t>
            </w:r>
          </w:p>
        </w:tc>
        <w:tc>
          <w:tcPr>
            <w:tcW w:w="511" w:type="pct"/>
            <w:tcBorders>
              <w:top w:val="single" w:sz="4" w:space="0" w:color="8ED973"/>
              <w:left w:val="nil"/>
              <w:bottom w:val="nil"/>
              <w:right w:val="nil"/>
            </w:tcBorders>
            <w:noWrap/>
            <w:hideMark/>
          </w:tcPr>
          <w:p w14:paraId="65FA943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5914191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24991F3A" w14:textId="77777777" w:rsidTr="009A58B0">
        <w:trPr>
          <w:trHeight w:val="520"/>
        </w:trPr>
        <w:tc>
          <w:tcPr>
            <w:tcW w:w="2379" w:type="pct"/>
            <w:tcBorders>
              <w:top w:val="single" w:sz="4" w:space="0" w:color="8ED973"/>
              <w:left w:val="single" w:sz="4" w:space="0" w:color="4EA72E"/>
              <w:bottom w:val="nil"/>
              <w:right w:val="nil"/>
            </w:tcBorders>
            <w:hideMark/>
          </w:tcPr>
          <w:p w14:paraId="3C5024E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8. tříd ZŠ s excelentními výsledky v testech matematických dovedností (TIMSS)</w:t>
            </w:r>
          </w:p>
        </w:tc>
        <w:tc>
          <w:tcPr>
            <w:tcW w:w="648" w:type="pct"/>
            <w:tcBorders>
              <w:top w:val="single" w:sz="4" w:space="0" w:color="8ED973"/>
              <w:left w:val="nil"/>
              <w:bottom w:val="nil"/>
              <w:right w:val="nil"/>
            </w:tcBorders>
            <w:noWrap/>
            <w:hideMark/>
          </w:tcPr>
          <w:p w14:paraId="69A557D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072882D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3831405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547EEEB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295BB802" w14:textId="77777777" w:rsidTr="009A58B0">
        <w:trPr>
          <w:trHeight w:val="520"/>
        </w:trPr>
        <w:tc>
          <w:tcPr>
            <w:tcW w:w="2379" w:type="pct"/>
            <w:tcBorders>
              <w:top w:val="single" w:sz="4" w:space="0" w:color="8ED973"/>
              <w:left w:val="single" w:sz="4" w:space="0" w:color="4EA72E"/>
              <w:bottom w:val="nil"/>
              <w:right w:val="nil"/>
            </w:tcBorders>
            <w:hideMark/>
          </w:tcPr>
          <w:p w14:paraId="214FBCC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8. tříd ZŠ s excelentními výsledky v testech přírodovědných dovedností (TIMSS)</w:t>
            </w:r>
          </w:p>
        </w:tc>
        <w:tc>
          <w:tcPr>
            <w:tcW w:w="648" w:type="pct"/>
            <w:tcBorders>
              <w:top w:val="single" w:sz="4" w:space="0" w:color="8ED973"/>
              <w:left w:val="nil"/>
              <w:bottom w:val="nil"/>
              <w:right w:val="nil"/>
            </w:tcBorders>
            <w:noWrap/>
            <w:hideMark/>
          </w:tcPr>
          <w:p w14:paraId="0B08F2F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715C84DA"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05618AB9"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0A13818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w:t>
            </w:r>
          </w:p>
        </w:tc>
      </w:tr>
      <w:tr w:rsidR="0024586E" w:rsidRPr="00BC25EA" w14:paraId="7A4C004B" w14:textId="77777777" w:rsidTr="009A58B0">
        <w:trPr>
          <w:trHeight w:val="520"/>
        </w:trPr>
        <w:tc>
          <w:tcPr>
            <w:tcW w:w="2379" w:type="pct"/>
            <w:tcBorders>
              <w:top w:val="single" w:sz="4" w:space="0" w:color="8ED973"/>
              <w:left w:val="single" w:sz="4" w:space="0" w:color="4EA72E"/>
              <w:bottom w:val="nil"/>
              <w:right w:val="nil"/>
            </w:tcBorders>
            <w:hideMark/>
          </w:tcPr>
          <w:p w14:paraId="3EAEFA8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lastRenderedPageBreak/>
              <w:t>Podíl žáků ZŠ s excelentními výsledky v testech čtenářské gramotnosti (PISA)</w:t>
            </w:r>
          </w:p>
        </w:tc>
        <w:tc>
          <w:tcPr>
            <w:tcW w:w="648" w:type="pct"/>
            <w:tcBorders>
              <w:top w:val="single" w:sz="4" w:space="0" w:color="8ED973"/>
              <w:left w:val="nil"/>
              <w:bottom w:val="nil"/>
              <w:right w:val="nil"/>
            </w:tcBorders>
            <w:noWrap/>
            <w:hideMark/>
          </w:tcPr>
          <w:p w14:paraId="59CD995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3F8023A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31E3917C"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 SŠ</w:t>
            </w:r>
          </w:p>
        </w:tc>
        <w:tc>
          <w:tcPr>
            <w:tcW w:w="239" w:type="pct"/>
            <w:tcBorders>
              <w:top w:val="single" w:sz="4" w:space="0" w:color="8ED973"/>
              <w:left w:val="nil"/>
              <w:bottom w:val="nil"/>
              <w:right w:val="single" w:sz="4" w:space="0" w:color="4EA72E"/>
            </w:tcBorders>
            <w:noWrap/>
            <w:hideMark/>
          </w:tcPr>
          <w:p w14:paraId="02510C28"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2</w:t>
            </w:r>
          </w:p>
        </w:tc>
      </w:tr>
      <w:tr w:rsidR="0024586E" w:rsidRPr="00BC25EA" w14:paraId="3EBBD054" w14:textId="77777777" w:rsidTr="009A58B0">
        <w:trPr>
          <w:trHeight w:val="520"/>
        </w:trPr>
        <w:tc>
          <w:tcPr>
            <w:tcW w:w="2379" w:type="pct"/>
            <w:tcBorders>
              <w:top w:val="single" w:sz="4" w:space="0" w:color="8ED973"/>
              <w:left w:val="single" w:sz="4" w:space="0" w:color="4EA72E"/>
              <w:bottom w:val="nil"/>
              <w:right w:val="nil"/>
            </w:tcBorders>
            <w:hideMark/>
          </w:tcPr>
          <w:p w14:paraId="50B42C11"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8. tříd ZŠ s nedostatečnými výsledky v testech matematických dovedností (TIMSS)</w:t>
            </w:r>
          </w:p>
        </w:tc>
        <w:tc>
          <w:tcPr>
            <w:tcW w:w="648" w:type="pct"/>
            <w:tcBorders>
              <w:top w:val="single" w:sz="4" w:space="0" w:color="8ED973"/>
              <w:left w:val="nil"/>
              <w:bottom w:val="nil"/>
              <w:right w:val="nil"/>
            </w:tcBorders>
            <w:noWrap/>
            <w:hideMark/>
          </w:tcPr>
          <w:p w14:paraId="2B0B6B75"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Nerovnosti</w:t>
            </w:r>
          </w:p>
        </w:tc>
        <w:tc>
          <w:tcPr>
            <w:tcW w:w="1224" w:type="pct"/>
            <w:tcBorders>
              <w:top w:val="single" w:sz="4" w:space="0" w:color="8ED973"/>
              <w:left w:val="nil"/>
              <w:bottom w:val="nil"/>
              <w:right w:val="nil"/>
            </w:tcBorders>
            <w:noWrap/>
            <w:hideMark/>
          </w:tcPr>
          <w:p w14:paraId="702634D4"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Žáci v dovednostních úrovních</w:t>
            </w:r>
          </w:p>
        </w:tc>
        <w:tc>
          <w:tcPr>
            <w:tcW w:w="511" w:type="pct"/>
            <w:tcBorders>
              <w:top w:val="single" w:sz="4" w:space="0" w:color="8ED973"/>
              <w:left w:val="nil"/>
              <w:bottom w:val="nil"/>
              <w:right w:val="nil"/>
            </w:tcBorders>
            <w:noWrap/>
            <w:hideMark/>
          </w:tcPr>
          <w:p w14:paraId="04C5943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nil"/>
              <w:right w:val="single" w:sz="4" w:space="0" w:color="4EA72E"/>
            </w:tcBorders>
            <w:noWrap/>
            <w:hideMark/>
          </w:tcPr>
          <w:p w14:paraId="2AD4BF4E"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13</w:t>
            </w:r>
          </w:p>
        </w:tc>
      </w:tr>
      <w:tr w:rsidR="0024586E" w:rsidRPr="00BC25EA" w14:paraId="770DC63F" w14:textId="77777777" w:rsidTr="009A58B0">
        <w:trPr>
          <w:trHeight w:val="520"/>
        </w:trPr>
        <w:tc>
          <w:tcPr>
            <w:tcW w:w="2379" w:type="pct"/>
            <w:tcBorders>
              <w:top w:val="single" w:sz="4" w:space="0" w:color="8ED973"/>
              <w:left w:val="single" w:sz="4" w:space="0" w:color="4EA72E"/>
              <w:bottom w:val="single" w:sz="4" w:space="0" w:color="4EA72E"/>
              <w:right w:val="nil"/>
            </w:tcBorders>
            <w:hideMark/>
          </w:tcPr>
          <w:p w14:paraId="4633FAC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Podíl žáků 8. tříd ZŠ s nedostatečnými výsledky v testech přírodovědných dovedností (TIMSS)</w:t>
            </w:r>
          </w:p>
        </w:tc>
        <w:tc>
          <w:tcPr>
            <w:tcW w:w="648" w:type="pct"/>
            <w:tcBorders>
              <w:top w:val="single" w:sz="4" w:space="0" w:color="8ED973"/>
              <w:left w:val="nil"/>
              <w:bottom w:val="single" w:sz="4" w:space="0" w:color="4EA72E"/>
              <w:right w:val="nil"/>
            </w:tcBorders>
            <w:noWrap/>
            <w:hideMark/>
          </w:tcPr>
          <w:p w14:paraId="5329BE4D"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Nerovnosti</w:t>
            </w:r>
          </w:p>
        </w:tc>
        <w:tc>
          <w:tcPr>
            <w:tcW w:w="1224" w:type="pct"/>
            <w:tcBorders>
              <w:top w:val="single" w:sz="4" w:space="0" w:color="8ED973"/>
              <w:left w:val="nil"/>
              <w:bottom w:val="single" w:sz="4" w:space="0" w:color="4EA72E"/>
              <w:right w:val="nil"/>
            </w:tcBorders>
            <w:noWrap/>
            <w:hideMark/>
          </w:tcPr>
          <w:p w14:paraId="0376676B"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Žáci v dovednostních úrovních</w:t>
            </w:r>
          </w:p>
        </w:tc>
        <w:tc>
          <w:tcPr>
            <w:tcW w:w="511" w:type="pct"/>
            <w:tcBorders>
              <w:top w:val="single" w:sz="4" w:space="0" w:color="8ED973"/>
              <w:left w:val="nil"/>
              <w:bottom w:val="single" w:sz="4" w:space="0" w:color="4EA72E"/>
              <w:right w:val="nil"/>
            </w:tcBorders>
            <w:noWrap/>
            <w:hideMark/>
          </w:tcPr>
          <w:p w14:paraId="706A265F"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ZŠ</w:t>
            </w:r>
          </w:p>
        </w:tc>
        <w:tc>
          <w:tcPr>
            <w:tcW w:w="239" w:type="pct"/>
            <w:tcBorders>
              <w:top w:val="single" w:sz="4" w:space="0" w:color="8ED973"/>
              <w:left w:val="nil"/>
              <w:bottom w:val="single" w:sz="4" w:space="0" w:color="4EA72E"/>
              <w:right w:val="single" w:sz="4" w:space="0" w:color="4EA72E"/>
            </w:tcBorders>
            <w:noWrap/>
            <w:hideMark/>
          </w:tcPr>
          <w:p w14:paraId="334EF4B0" w14:textId="77777777" w:rsidR="0024586E" w:rsidRPr="00BC25EA" w:rsidRDefault="0024586E" w:rsidP="009574F4">
            <w:pPr>
              <w:spacing w:after="0"/>
              <w:rPr>
                <w:rFonts w:eastAsia="Times New Roman" w:cs="Calibri"/>
                <w:color w:val="000000"/>
                <w:sz w:val="20"/>
                <w:szCs w:val="20"/>
                <w:lang w:eastAsia="cs-CZ"/>
              </w:rPr>
            </w:pPr>
            <w:r w:rsidRPr="00BC25EA">
              <w:rPr>
                <w:rFonts w:eastAsia="Times New Roman" w:cs="Calibri"/>
                <w:color w:val="000000"/>
                <w:sz w:val="20"/>
                <w:szCs w:val="20"/>
                <w:lang w:eastAsia="cs-CZ"/>
              </w:rPr>
              <w:t>14</w:t>
            </w:r>
          </w:p>
        </w:tc>
      </w:tr>
    </w:tbl>
    <w:p w14:paraId="667B5592" w14:textId="77777777" w:rsidR="0024586E" w:rsidRDefault="0024586E" w:rsidP="0024586E">
      <w:pPr>
        <w:spacing w:line="276" w:lineRule="auto"/>
        <w:rPr>
          <w:b/>
          <w:bCs/>
        </w:rPr>
      </w:pPr>
    </w:p>
    <w:p w14:paraId="761AE610" w14:textId="77777777" w:rsidR="00400FE9" w:rsidRDefault="00400FE9">
      <w:pPr>
        <w:spacing w:line="276" w:lineRule="auto"/>
        <w:rPr>
          <w:rFonts w:eastAsiaTheme="majorEastAsia" w:cstheme="majorBidi"/>
          <w:b/>
          <w:color w:val="4C4C4C"/>
          <w:sz w:val="24"/>
          <w:szCs w:val="23"/>
        </w:rPr>
      </w:pPr>
      <w:r>
        <w:br w:type="page"/>
      </w:r>
    </w:p>
    <w:p w14:paraId="248EB774" w14:textId="4ABE0036" w:rsidR="0024586E" w:rsidRDefault="0024586E" w:rsidP="0024586E">
      <w:pPr>
        <w:pStyle w:val="Nadpis4"/>
        <w:rPr>
          <w:b w:val="0"/>
        </w:rPr>
      </w:pPr>
      <w:r>
        <w:lastRenderedPageBreak/>
        <w:t>Moravskoslezský kraj</w:t>
      </w:r>
    </w:p>
    <w:p w14:paraId="1220A8D2" w14:textId="77777777" w:rsidR="0024586E" w:rsidRDefault="0024586E" w:rsidP="0024586E">
      <w:pPr>
        <w:jc w:val="both"/>
      </w:pPr>
      <w:r>
        <w:t>V Moravskoslezském kraji je patrný v</w:t>
      </w:r>
      <w:r w:rsidRPr="00EB32D1">
        <w:t>ysoký počet úvazků nepedagogických zaměstnanců v ZŠ a MŠ na 10 tisíc dětí či žáků.</w:t>
      </w:r>
      <w:r>
        <w:t xml:space="preserve"> Kraj je na druhém místě v </w:t>
      </w:r>
      <w:r w:rsidRPr="00EB32D1">
        <w:t>podíl</w:t>
      </w:r>
      <w:r>
        <w:t>u</w:t>
      </w:r>
      <w:r w:rsidRPr="00EB32D1">
        <w:t xml:space="preserve"> dětí a</w:t>
      </w:r>
      <w:r>
        <w:t> </w:t>
      </w:r>
      <w:r w:rsidRPr="00EB32D1">
        <w:t>žáků vzdělávajících se v neveřejných školách</w:t>
      </w:r>
      <w:r>
        <w:t xml:space="preserve"> především díky vysokému podílu žáků v soukromých SŠ. V mateřských školách je v</w:t>
      </w:r>
      <w:r w:rsidRPr="00EB32D1">
        <w:t xml:space="preserve">ysoký podíl dětí </w:t>
      </w:r>
      <w:r>
        <w:t xml:space="preserve">vzdělávacích se </w:t>
      </w:r>
      <w:r w:rsidRPr="00EB32D1">
        <w:t>ve speciálních třídách</w:t>
      </w:r>
      <w:r>
        <w:t>.</w:t>
      </w:r>
      <w:r w:rsidRPr="00E33DAB">
        <w:t xml:space="preserve"> </w:t>
      </w:r>
      <w:r>
        <w:t xml:space="preserve">V </w:t>
      </w:r>
      <w:r w:rsidRPr="00EB32D1">
        <w:t xml:space="preserve">MŠ, </w:t>
      </w:r>
      <w:r>
        <w:t>Z</w:t>
      </w:r>
      <w:r w:rsidRPr="00EB32D1">
        <w:t xml:space="preserve">Š i </w:t>
      </w:r>
      <w:r>
        <w:t>S</w:t>
      </w:r>
      <w:r w:rsidRPr="00EB32D1">
        <w:t xml:space="preserve">Š </w:t>
      </w:r>
      <w:r>
        <w:t>je relativně nízký</w:t>
      </w:r>
      <w:r w:rsidRPr="00EB32D1">
        <w:t xml:space="preserve"> podíl </w:t>
      </w:r>
      <w:r>
        <w:t xml:space="preserve">dětí a </w:t>
      </w:r>
      <w:r w:rsidRPr="00EB32D1">
        <w:t>žáků-cizinců.</w:t>
      </w:r>
      <w:r>
        <w:t xml:space="preserve"> V aspiracích </w:t>
      </w:r>
      <w:r w:rsidRPr="00EB32D1">
        <w:t xml:space="preserve">15letých žáků </w:t>
      </w:r>
      <w:r>
        <w:t>na vysokoškolské studium je Moravskoslezský kraj na druhém místě. Z hodnot indikátoru je patrný n</w:t>
      </w:r>
      <w:r w:rsidRPr="00EB32D1">
        <w:t>ízký podíl žáků opakujících ročník v ZŠ, zejména na 1. stupni.</w:t>
      </w:r>
      <w:r>
        <w:t xml:space="preserve"> Ve školách v Moravskoslezském kraji je v porovnání se zbytkem ČR také v</w:t>
      </w:r>
      <w:r w:rsidRPr="00EB32D1">
        <w:t>ysoký počet počítačů přístupných žákům (1. stupeň ZŠ, 2. stupeň ZŠ, SŠ).</w:t>
      </w:r>
      <w:r>
        <w:t xml:space="preserve"> </w:t>
      </w:r>
      <w:r w:rsidRPr="00EE2E12">
        <w:t>U</w:t>
      </w:r>
      <w:r>
        <w:t> </w:t>
      </w:r>
      <w:r w:rsidRPr="00EE2E12">
        <w:t>patnáctiletých žáků je zaznamenán vysoký podíl těch</w:t>
      </w:r>
      <w:r w:rsidRPr="00376BE5">
        <w:t xml:space="preserve">, kteří mají pocit, že do školy patří, a vykazují vysoký index sounáležitosti se školou. </w:t>
      </w:r>
      <w:r>
        <w:t>Naopak nízký</w:t>
      </w:r>
      <w:r w:rsidRPr="00376BE5">
        <w:t xml:space="preserve"> pocit sounáležitosti </w:t>
      </w:r>
      <w:r>
        <w:t xml:space="preserve">se školou </w:t>
      </w:r>
      <w:r w:rsidRPr="00376BE5">
        <w:t>u žáků 4. ročníků základních škol podle šetření TIMSS.</w:t>
      </w:r>
    </w:p>
    <w:tbl>
      <w:tblPr>
        <w:tblW w:w="5000" w:type="pct"/>
        <w:tblCellMar>
          <w:left w:w="70" w:type="dxa"/>
          <w:right w:w="70" w:type="dxa"/>
        </w:tblCellMar>
        <w:tblLook w:val="04A0" w:firstRow="1" w:lastRow="0" w:firstColumn="1" w:lastColumn="0" w:noHBand="0" w:noVBand="1"/>
      </w:tblPr>
      <w:tblGrid>
        <w:gridCol w:w="6797"/>
        <w:gridCol w:w="1853"/>
        <w:gridCol w:w="3394"/>
        <w:gridCol w:w="1544"/>
        <w:gridCol w:w="688"/>
      </w:tblGrid>
      <w:tr w:rsidR="0024586E" w:rsidRPr="0021143E" w14:paraId="3BC5F991" w14:textId="77777777" w:rsidTr="009A58B0">
        <w:trPr>
          <w:trHeight w:val="290"/>
          <w:tblHeader/>
        </w:trPr>
        <w:tc>
          <w:tcPr>
            <w:tcW w:w="2381" w:type="pct"/>
            <w:tcBorders>
              <w:top w:val="single" w:sz="4" w:space="0" w:color="8ED973"/>
              <w:left w:val="single" w:sz="4" w:space="0" w:color="4EA72E"/>
              <w:bottom w:val="nil"/>
              <w:right w:val="nil"/>
            </w:tcBorders>
            <w:shd w:val="clear" w:color="4EA72E" w:fill="4EA72E"/>
            <w:vAlign w:val="bottom"/>
            <w:hideMark/>
          </w:tcPr>
          <w:p w14:paraId="09F9454D" w14:textId="77777777" w:rsidR="0024586E" w:rsidRPr="0021143E" w:rsidRDefault="0024586E" w:rsidP="009574F4">
            <w:pPr>
              <w:spacing w:after="0"/>
              <w:rPr>
                <w:rFonts w:eastAsia="Times New Roman" w:cs="Calibri"/>
                <w:b/>
                <w:bCs/>
                <w:color w:val="FFFFFF"/>
                <w:sz w:val="20"/>
                <w:szCs w:val="20"/>
                <w:lang w:eastAsia="cs-CZ"/>
              </w:rPr>
            </w:pPr>
            <w:r w:rsidRPr="0021143E">
              <w:rPr>
                <w:rFonts w:eastAsia="Times New Roman" w:cs="Calibri"/>
                <w:b/>
                <w:bCs/>
                <w:color w:val="FFFFFF"/>
                <w:sz w:val="20"/>
                <w:szCs w:val="20"/>
                <w:lang w:eastAsia="cs-CZ"/>
              </w:rPr>
              <w:t>Název údaje</w:t>
            </w:r>
          </w:p>
        </w:tc>
        <w:tc>
          <w:tcPr>
            <w:tcW w:w="648" w:type="pct"/>
            <w:tcBorders>
              <w:top w:val="single" w:sz="4" w:space="0" w:color="8ED973"/>
              <w:left w:val="nil"/>
              <w:bottom w:val="nil"/>
              <w:right w:val="nil"/>
            </w:tcBorders>
            <w:shd w:val="clear" w:color="4EA72E" w:fill="4EA72E"/>
            <w:noWrap/>
            <w:vAlign w:val="bottom"/>
            <w:hideMark/>
          </w:tcPr>
          <w:p w14:paraId="3AE4599D" w14:textId="77777777" w:rsidR="0024586E" w:rsidRPr="0021143E" w:rsidRDefault="0024586E" w:rsidP="009574F4">
            <w:pPr>
              <w:spacing w:after="0"/>
              <w:rPr>
                <w:rFonts w:eastAsia="Times New Roman" w:cs="Calibri"/>
                <w:b/>
                <w:bCs/>
                <w:color w:val="FFFFFF"/>
                <w:sz w:val="20"/>
                <w:szCs w:val="20"/>
                <w:lang w:eastAsia="cs-CZ"/>
              </w:rPr>
            </w:pPr>
            <w:r w:rsidRPr="0021143E">
              <w:rPr>
                <w:rFonts w:eastAsia="Times New Roman" w:cs="Calibri"/>
                <w:b/>
                <w:bCs/>
                <w:color w:val="FFFFFF"/>
                <w:sz w:val="20"/>
                <w:szCs w:val="20"/>
                <w:lang w:eastAsia="cs-CZ"/>
              </w:rPr>
              <w:t>Oblast</w:t>
            </w:r>
          </w:p>
        </w:tc>
        <w:tc>
          <w:tcPr>
            <w:tcW w:w="1189" w:type="pct"/>
            <w:tcBorders>
              <w:top w:val="single" w:sz="4" w:space="0" w:color="8ED973"/>
              <w:left w:val="nil"/>
              <w:bottom w:val="nil"/>
              <w:right w:val="nil"/>
            </w:tcBorders>
            <w:shd w:val="clear" w:color="4EA72E" w:fill="4EA72E"/>
            <w:noWrap/>
            <w:vAlign w:val="bottom"/>
            <w:hideMark/>
          </w:tcPr>
          <w:p w14:paraId="654EB02D" w14:textId="77777777" w:rsidR="0024586E" w:rsidRPr="0021143E" w:rsidRDefault="0024586E" w:rsidP="009574F4">
            <w:pPr>
              <w:spacing w:after="0"/>
              <w:rPr>
                <w:rFonts w:eastAsia="Times New Roman" w:cs="Calibri"/>
                <w:b/>
                <w:bCs/>
                <w:color w:val="FFFFFF"/>
                <w:sz w:val="20"/>
                <w:szCs w:val="20"/>
                <w:lang w:eastAsia="cs-CZ"/>
              </w:rPr>
            </w:pPr>
            <w:r w:rsidRPr="0021143E">
              <w:rPr>
                <w:rFonts w:eastAsia="Times New Roman" w:cs="Calibri"/>
                <w:b/>
                <w:bCs/>
                <w:color w:val="FFFFFF"/>
                <w:sz w:val="20"/>
                <w:szCs w:val="20"/>
                <w:lang w:eastAsia="cs-CZ"/>
              </w:rPr>
              <w:t>Podoblast</w:t>
            </w:r>
          </w:p>
        </w:tc>
        <w:tc>
          <w:tcPr>
            <w:tcW w:w="541" w:type="pct"/>
            <w:tcBorders>
              <w:top w:val="single" w:sz="4" w:space="0" w:color="8ED973"/>
              <w:left w:val="nil"/>
              <w:bottom w:val="nil"/>
              <w:right w:val="nil"/>
            </w:tcBorders>
            <w:shd w:val="clear" w:color="4EA72E" w:fill="4EA72E"/>
            <w:noWrap/>
            <w:vAlign w:val="bottom"/>
            <w:hideMark/>
          </w:tcPr>
          <w:p w14:paraId="16C9ADE1" w14:textId="77777777" w:rsidR="0024586E" w:rsidRPr="0021143E" w:rsidRDefault="0024586E" w:rsidP="009574F4">
            <w:pPr>
              <w:spacing w:after="0"/>
              <w:rPr>
                <w:rFonts w:eastAsia="Times New Roman" w:cs="Calibri"/>
                <w:b/>
                <w:bCs/>
                <w:color w:val="FFFFFF"/>
                <w:sz w:val="20"/>
                <w:szCs w:val="20"/>
                <w:lang w:eastAsia="cs-CZ"/>
              </w:rPr>
            </w:pPr>
            <w:r w:rsidRPr="0021143E">
              <w:rPr>
                <w:rFonts w:eastAsia="Times New Roman" w:cs="Calibri"/>
                <w:b/>
                <w:bCs/>
                <w:color w:val="FFFFFF"/>
                <w:sz w:val="20"/>
                <w:szCs w:val="20"/>
                <w:lang w:eastAsia="cs-CZ"/>
              </w:rPr>
              <w:t>Stupeň vzdělání</w:t>
            </w:r>
          </w:p>
        </w:tc>
        <w:tc>
          <w:tcPr>
            <w:tcW w:w="241" w:type="pct"/>
            <w:tcBorders>
              <w:top w:val="single" w:sz="4" w:space="0" w:color="8ED973"/>
              <w:left w:val="nil"/>
              <w:bottom w:val="nil"/>
              <w:right w:val="single" w:sz="4" w:space="0" w:color="4EA72E"/>
            </w:tcBorders>
            <w:shd w:val="clear" w:color="4EA72E" w:fill="4EA72E"/>
            <w:noWrap/>
            <w:vAlign w:val="bottom"/>
            <w:hideMark/>
          </w:tcPr>
          <w:p w14:paraId="52204A0F" w14:textId="77777777" w:rsidR="0024586E" w:rsidRPr="0021143E" w:rsidRDefault="0024586E" w:rsidP="009574F4">
            <w:pPr>
              <w:spacing w:after="0"/>
              <w:rPr>
                <w:rFonts w:eastAsia="Times New Roman" w:cs="Calibri"/>
                <w:b/>
                <w:bCs/>
                <w:color w:val="FFFFFF"/>
                <w:sz w:val="20"/>
                <w:szCs w:val="20"/>
                <w:lang w:eastAsia="cs-CZ"/>
              </w:rPr>
            </w:pPr>
            <w:r w:rsidRPr="0021143E">
              <w:rPr>
                <w:rFonts w:eastAsia="Times New Roman" w:cs="Calibri"/>
                <w:b/>
                <w:bCs/>
                <w:color w:val="FFFFFF"/>
                <w:sz w:val="20"/>
                <w:szCs w:val="20"/>
                <w:lang w:eastAsia="cs-CZ"/>
              </w:rPr>
              <w:t>Pořadí</w:t>
            </w:r>
          </w:p>
        </w:tc>
      </w:tr>
      <w:tr w:rsidR="0024586E" w:rsidRPr="0021143E" w14:paraId="4332B8C2" w14:textId="77777777" w:rsidTr="009A58B0">
        <w:trPr>
          <w:trHeight w:val="290"/>
        </w:trPr>
        <w:tc>
          <w:tcPr>
            <w:tcW w:w="2381" w:type="pct"/>
            <w:tcBorders>
              <w:top w:val="single" w:sz="4" w:space="0" w:color="8ED973"/>
              <w:left w:val="single" w:sz="4" w:space="0" w:color="4EA72E"/>
              <w:bottom w:val="nil"/>
              <w:right w:val="nil"/>
            </w:tcBorders>
            <w:hideMark/>
          </w:tcPr>
          <w:p w14:paraId="3503FA88"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Počet úvazků skupiny nepedagogických zaměstnanců v ZŠ na 10 tis. žáků</w:t>
            </w:r>
          </w:p>
        </w:tc>
        <w:tc>
          <w:tcPr>
            <w:tcW w:w="648" w:type="pct"/>
            <w:tcBorders>
              <w:top w:val="single" w:sz="4" w:space="0" w:color="8ED973"/>
              <w:left w:val="nil"/>
              <w:bottom w:val="nil"/>
              <w:right w:val="nil"/>
            </w:tcBorders>
            <w:noWrap/>
            <w:hideMark/>
          </w:tcPr>
          <w:p w14:paraId="74AEF87D"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Pracovníci ve školství</w:t>
            </w:r>
          </w:p>
        </w:tc>
        <w:tc>
          <w:tcPr>
            <w:tcW w:w="1189" w:type="pct"/>
            <w:tcBorders>
              <w:top w:val="single" w:sz="4" w:space="0" w:color="8ED973"/>
              <w:left w:val="nil"/>
              <w:bottom w:val="nil"/>
              <w:right w:val="nil"/>
            </w:tcBorders>
            <w:noWrap/>
            <w:hideMark/>
          </w:tcPr>
          <w:p w14:paraId="777FBF6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Nepedagogické profese</w:t>
            </w:r>
          </w:p>
        </w:tc>
        <w:tc>
          <w:tcPr>
            <w:tcW w:w="541" w:type="pct"/>
            <w:tcBorders>
              <w:top w:val="single" w:sz="4" w:space="0" w:color="8ED973"/>
              <w:left w:val="nil"/>
              <w:bottom w:val="nil"/>
              <w:right w:val="nil"/>
            </w:tcBorders>
            <w:noWrap/>
            <w:hideMark/>
          </w:tcPr>
          <w:p w14:paraId="7ADDE2B2"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D4ECD9D"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1</w:t>
            </w:r>
          </w:p>
        </w:tc>
      </w:tr>
      <w:tr w:rsidR="0024586E" w:rsidRPr="0021143E" w14:paraId="3C5C8ADA" w14:textId="77777777" w:rsidTr="009A58B0">
        <w:trPr>
          <w:trHeight w:val="290"/>
        </w:trPr>
        <w:tc>
          <w:tcPr>
            <w:tcW w:w="2381" w:type="pct"/>
            <w:tcBorders>
              <w:top w:val="single" w:sz="4" w:space="0" w:color="8ED973"/>
              <w:left w:val="single" w:sz="4" w:space="0" w:color="4EA72E"/>
              <w:bottom w:val="nil"/>
              <w:right w:val="nil"/>
            </w:tcBorders>
            <w:hideMark/>
          </w:tcPr>
          <w:p w14:paraId="0BE6B13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Počet úvazků skupiny nepedagogických zaměstnanců v MŠ na 10 tis. dětí</w:t>
            </w:r>
          </w:p>
        </w:tc>
        <w:tc>
          <w:tcPr>
            <w:tcW w:w="648" w:type="pct"/>
            <w:tcBorders>
              <w:top w:val="single" w:sz="4" w:space="0" w:color="8ED973"/>
              <w:left w:val="nil"/>
              <w:bottom w:val="nil"/>
              <w:right w:val="nil"/>
            </w:tcBorders>
            <w:noWrap/>
            <w:hideMark/>
          </w:tcPr>
          <w:p w14:paraId="2C292A1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Pracovníci ve školství</w:t>
            </w:r>
          </w:p>
        </w:tc>
        <w:tc>
          <w:tcPr>
            <w:tcW w:w="1189" w:type="pct"/>
            <w:tcBorders>
              <w:top w:val="single" w:sz="4" w:space="0" w:color="8ED973"/>
              <w:left w:val="nil"/>
              <w:bottom w:val="nil"/>
              <w:right w:val="nil"/>
            </w:tcBorders>
            <w:noWrap/>
            <w:hideMark/>
          </w:tcPr>
          <w:p w14:paraId="4240035A"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Nepedagogické profese</w:t>
            </w:r>
          </w:p>
        </w:tc>
        <w:tc>
          <w:tcPr>
            <w:tcW w:w="541" w:type="pct"/>
            <w:tcBorders>
              <w:top w:val="single" w:sz="4" w:space="0" w:color="8ED973"/>
              <w:left w:val="nil"/>
              <w:bottom w:val="nil"/>
              <w:right w:val="nil"/>
            </w:tcBorders>
            <w:noWrap/>
            <w:hideMark/>
          </w:tcPr>
          <w:p w14:paraId="2CCD757A"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6120A4BB"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31C0664E" w14:textId="77777777" w:rsidTr="009A58B0">
        <w:trPr>
          <w:trHeight w:val="290"/>
        </w:trPr>
        <w:tc>
          <w:tcPr>
            <w:tcW w:w="2381" w:type="pct"/>
            <w:tcBorders>
              <w:top w:val="single" w:sz="4" w:space="0" w:color="8ED973"/>
              <w:left w:val="single" w:sz="4" w:space="0" w:color="4EA72E"/>
              <w:bottom w:val="nil"/>
              <w:right w:val="nil"/>
            </w:tcBorders>
            <w:hideMark/>
          </w:tcPr>
          <w:p w14:paraId="45479CC5"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dětí a žáků vzdělávajících se v neveřejných školách</w:t>
            </w:r>
          </w:p>
        </w:tc>
        <w:tc>
          <w:tcPr>
            <w:tcW w:w="648" w:type="pct"/>
            <w:tcBorders>
              <w:top w:val="single" w:sz="4" w:space="0" w:color="8ED973"/>
              <w:left w:val="nil"/>
              <w:bottom w:val="nil"/>
              <w:right w:val="nil"/>
            </w:tcBorders>
            <w:noWrap/>
            <w:hideMark/>
          </w:tcPr>
          <w:p w14:paraId="675607A8"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Školy a zřizovatelé</w:t>
            </w:r>
          </w:p>
        </w:tc>
        <w:tc>
          <w:tcPr>
            <w:tcW w:w="1189" w:type="pct"/>
            <w:tcBorders>
              <w:top w:val="single" w:sz="4" w:space="0" w:color="8ED973"/>
              <w:left w:val="nil"/>
              <w:bottom w:val="nil"/>
              <w:right w:val="nil"/>
            </w:tcBorders>
            <w:noWrap/>
            <w:hideMark/>
          </w:tcPr>
          <w:p w14:paraId="6A70ACEB"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Zřizovatelé</w:t>
            </w:r>
          </w:p>
        </w:tc>
        <w:tc>
          <w:tcPr>
            <w:tcW w:w="541" w:type="pct"/>
            <w:tcBorders>
              <w:top w:val="single" w:sz="4" w:space="0" w:color="8ED973"/>
              <w:left w:val="nil"/>
              <w:bottom w:val="nil"/>
              <w:right w:val="nil"/>
            </w:tcBorders>
            <w:noWrap/>
            <w:hideMark/>
          </w:tcPr>
          <w:p w14:paraId="7FA69AFE"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MŠ, ZŠ, SŠ</w:t>
            </w:r>
          </w:p>
        </w:tc>
        <w:tc>
          <w:tcPr>
            <w:tcW w:w="241" w:type="pct"/>
            <w:tcBorders>
              <w:top w:val="single" w:sz="4" w:space="0" w:color="8ED973"/>
              <w:left w:val="nil"/>
              <w:bottom w:val="nil"/>
              <w:right w:val="single" w:sz="4" w:space="0" w:color="4EA72E"/>
            </w:tcBorders>
            <w:noWrap/>
            <w:hideMark/>
          </w:tcPr>
          <w:p w14:paraId="35950A7E"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57A3CE7E" w14:textId="77777777" w:rsidTr="009A58B0">
        <w:trPr>
          <w:trHeight w:val="290"/>
        </w:trPr>
        <w:tc>
          <w:tcPr>
            <w:tcW w:w="2381" w:type="pct"/>
            <w:tcBorders>
              <w:top w:val="single" w:sz="4" w:space="0" w:color="8ED973"/>
              <w:left w:val="single" w:sz="4" w:space="0" w:color="4EA72E"/>
              <w:bottom w:val="nil"/>
              <w:right w:val="nil"/>
            </w:tcBorders>
            <w:hideMark/>
          </w:tcPr>
          <w:p w14:paraId="3D2192B5"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žáků vzdělávajících se v neveřejných SŠ</w:t>
            </w:r>
          </w:p>
        </w:tc>
        <w:tc>
          <w:tcPr>
            <w:tcW w:w="648" w:type="pct"/>
            <w:tcBorders>
              <w:top w:val="single" w:sz="4" w:space="0" w:color="8ED973"/>
              <w:left w:val="nil"/>
              <w:bottom w:val="nil"/>
              <w:right w:val="nil"/>
            </w:tcBorders>
            <w:noWrap/>
            <w:hideMark/>
          </w:tcPr>
          <w:p w14:paraId="4C05F17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Školy a zřizovatelé</w:t>
            </w:r>
          </w:p>
        </w:tc>
        <w:tc>
          <w:tcPr>
            <w:tcW w:w="1189" w:type="pct"/>
            <w:tcBorders>
              <w:top w:val="single" w:sz="4" w:space="0" w:color="8ED973"/>
              <w:left w:val="nil"/>
              <w:bottom w:val="nil"/>
              <w:right w:val="nil"/>
            </w:tcBorders>
            <w:noWrap/>
            <w:hideMark/>
          </w:tcPr>
          <w:p w14:paraId="1B0D0F3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Zřizovatelé</w:t>
            </w:r>
          </w:p>
        </w:tc>
        <w:tc>
          <w:tcPr>
            <w:tcW w:w="541" w:type="pct"/>
            <w:tcBorders>
              <w:top w:val="single" w:sz="4" w:space="0" w:color="8ED973"/>
              <w:left w:val="nil"/>
              <w:bottom w:val="nil"/>
              <w:right w:val="nil"/>
            </w:tcBorders>
            <w:noWrap/>
            <w:hideMark/>
          </w:tcPr>
          <w:p w14:paraId="5F0C7DAD"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7D3E3C7F"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44A02BAD" w14:textId="77777777" w:rsidTr="009A58B0">
        <w:trPr>
          <w:trHeight w:val="290"/>
        </w:trPr>
        <w:tc>
          <w:tcPr>
            <w:tcW w:w="2381" w:type="pct"/>
            <w:tcBorders>
              <w:top w:val="single" w:sz="4" w:space="0" w:color="8ED973"/>
              <w:left w:val="single" w:sz="4" w:space="0" w:color="4EA72E"/>
              <w:bottom w:val="nil"/>
              <w:right w:val="nil"/>
            </w:tcBorders>
            <w:hideMark/>
          </w:tcPr>
          <w:p w14:paraId="4235A97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dětí ve speciálních třídách MŠ</w:t>
            </w:r>
          </w:p>
        </w:tc>
        <w:tc>
          <w:tcPr>
            <w:tcW w:w="648" w:type="pct"/>
            <w:tcBorders>
              <w:top w:val="single" w:sz="4" w:space="0" w:color="8ED973"/>
              <w:left w:val="nil"/>
              <w:bottom w:val="nil"/>
              <w:right w:val="nil"/>
            </w:tcBorders>
            <w:noWrap/>
            <w:hideMark/>
          </w:tcPr>
          <w:p w14:paraId="1FB21C95"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 na vzdělávání</w:t>
            </w:r>
          </w:p>
        </w:tc>
        <w:tc>
          <w:tcPr>
            <w:tcW w:w="1189" w:type="pct"/>
            <w:tcBorders>
              <w:top w:val="single" w:sz="4" w:space="0" w:color="8ED973"/>
              <w:left w:val="nil"/>
              <w:bottom w:val="nil"/>
              <w:right w:val="nil"/>
            </w:tcBorders>
            <w:noWrap/>
            <w:hideMark/>
          </w:tcPr>
          <w:p w14:paraId="0EFF536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742E5C25"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3191E23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1</w:t>
            </w:r>
          </w:p>
        </w:tc>
      </w:tr>
      <w:tr w:rsidR="0024586E" w:rsidRPr="0021143E" w14:paraId="31F3CCDF" w14:textId="77777777" w:rsidTr="009A58B0">
        <w:trPr>
          <w:trHeight w:val="290"/>
        </w:trPr>
        <w:tc>
          <w:tcPr>
            <w:tcW w:w="2381" w:type="pct"/>
            <w:tcBorders>
              <w:top w:val="single" w:sz="4" w:space="0" w:color="8ED973"/>
              <w:left w:val="single" w:sz="4" w:space="0" w:color="4EA72E"/>
              <w:bottom w:val="nil"/>
              <w:right w:val="nil"/>
            </w:tcBorders>
            <w:hideMark/>
          </w:tcPr>
          <w:p w14:paraId="4FB8619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dětí-cizinců v MŠ</w:t>
            </w:r>
          </w:p>
        </w:tc>
        <w:tc>
          <w:tcPr>
            <w:tcW w:w="648" w:type="pct"/>
            <w:tcBorders>
              <w:top w:val="single" w:sz="4" w:space="0" w:color="8ED973"/>
              <w:left w:val="nil"/>
              <w:bottom w:val="nil"/>
              <w:right w:val="nil"/>
            </w:tcBorders>
            <w:noWrap/>
            <w:hideMark/>
          </w:tcPr>
          <w:p w14:paraId="6F83C9B8"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 na vzdělávání</w:t>
            </w:r>
          </w:p>
        </w:tc>
        <w:tc>
          <w:tcPr>
            <w:tcW w:w="1189" w:type="pct"/>
            <w:tcBorders>
              <w:top w:val="single" w:sz="4" w:space="0" w:color="8ED973"/>
              <w:left w:val="nil"/>
              <w:bottom w:val="nil"/>
              <w:right w:val="nil"/>
            </w:tcBorders>
            <w:noWrap/>
            <w:hideMark/>
          </w:tcPr>
          <w:p w14:paraId="2DDE941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4EE37D09"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MŠ</w:t>
            </w:r>
          </w:p>
        </w:tc>
        <w:tc>
          <w:tcPr>
            <w:tcW w:w="241" w:type="pct"/>
            <w:tcBorders>
              <w:top w:val="single" w:sz="4" w:space="0" w:color="8ED973"/>
              <w:left w:val="nil"/>
              <w:bottom w:val="nil"/>
              <w:right w:val="single" w:sz="4" w:space="0" w:color="4EA72E"/>
            </w:tcBorders>
            <w:noWrap/>
            <w:hideMark/>
          </w:tcPr>
          <w:p w14:paraId="08409DD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13</w:t>
            </w:r>
          </w:p>
        </w:tc>
      </w:tr>
      <w:tr w:rsidR="0024586E" w:rsidRPr="0021143E" w14:paraId="431E7923" w14:textId="77777777" w:rsidTr="009A58B0">
        <w:trPr>
          <w:trHeight w:val="290"/>
        </w:trPr>
        <w:tc>
          <w:tcPr>
            <w:tcW w:w="2381" w:type="pct"/>
            <w:tcBorders>
              <w:top w:val="single" w:sz="4" w:space="0" w:color="8ED973"/>
              <w:left w:val="single" w:sz="4" w:space="0" w:color="4EA72E"/>
              <w:bottom w:val="nil"/>
              <w:right w:val="nil"/>
            </w:tcBorders>
            <w:hideMark/>
          </w:tcPr>
          <w:p w14:paraId="71074E5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žáků-cizinců v SŠ</w:t>
            </w:r>
          </w:p>
        </w:tc>
        <w:tc>
          <w:tcPr>
            <w:tcW w:w="648" w:type="pct"/>
            <w:tcBorders>
              <w:top w:val="single" w:sz="4" w:space="0" w:color="8ED973"/>
              <w:left w:val="nil"/>
              <w:bottom w:val="nil"/>
              <w:right w:val="nil"/>
            </w:tcBorders>
            <w:noWrap/>
            <w:hideMark/>
          </w:tcPr>
          <w:p w14:paraId="40555CD0"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 na vzdělávání</w:t>
            </w:r>
          </w:p>
        </w:tc>
        <w:tc>
          <w:tcPr>
            <w:tcW w:w="1189" w:type="pct"/>
            <w:tcBorders>
              <w:top w:val="single" w:sz="4" w:space="0" w:color="8ED973"/>
              <w:left w:val="nil"/>
              <w:bottom w:val="nil"/>
              <w:right w:val="nil"/>
            </w:tcBorders>
            <w:noWrap/>
            <w:hideMark/>
          </w:tcPr>
          <w:p w14:paraId="25D65F1F"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2C0BEDA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60A8B46C"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13</w:t>
            </w:r>
          </w:p>
        </w:tc>
      </w:tr>
      <w:tr w:rsidR="0024586E" w:rsidRPr="0021143E" w14:paraId="67C7F466" w14:textId="77777777" w:rsidTr="009A58B0">
        <w:trPr>
          <w:trHeight w:val="290"/>
        </w:trPr>
        <w:tc>
          <w:tcPr>
            <w:tcW w:w="2381" w:type="pct"/>
            <w:tcBorders>
              <w:top w:val="single" w:sz="4" w:space="0" w:color="8ED973"/>
              <w:left w:val="single" w:sz="4" w:space="0" w:color="4EA72E"/>
              <w:bottom w:val="nil"/>
              <w:right w:val="nil"/>
            </w:tcBorders>
            <w:hideMark/>
          </w:tcPr>
          <w:p w14:paraId="031A0EC2"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žáků-cizinců v ZŠ</w:t>
            </w:r>
          </w:p>
        </w:tc>
        <w:tc>
          <w:tcPr>
            <w:tcW w:w="648" w:type="pct"/>
            <w:tcBorders>
              <w:top w:val="single" w:sz="4" w:space="0" w:color="8ED973"/>
              <w:left w:val="nil"/>
              <w:bottom w:val="nil"/>
              <w:right w:val="nil"/>
            </w:tcBorders>
            <w:noWrap/>
            <w:hideMark/>
          </w:tcPr>
          <w:p w14:paraId="19B4D03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 na vzdělávání</w:t>
            </w:r>
          </w:p>
        </w:tc>
        <w:tc>
          <w:tcPr>
            <w:tcW w:w="1189" w:type="pct"/>
            <w:tcBorders>
              <w:top w:val="single" w:sz="4" w:space="0" w:color="8ED973"/>
              <w:left w:val="nil"/>
              <w:bottom w:val="nil"/>
              <w:right w:val="nil"/>
            </w:tcBorders>
            <w:noWrap/>
            <w:hideMark/>
          </w:tcPr>
          <w:p w14:paraId="48A3A59E"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Účastníci vzdělávání</w:t>
            </w:r>
          </w:p>
        </w:tc>
        <w:tc>
          <w:tcPr>
            <w:tcW w:w="541" w:type="pct"/>
            <w:tcBorders>
              <w:top w:val="single" w:sz="4" w:space="0" w:color="8ED973"/>
              <w:left w:val="nil"/>
              <w:bottom w:val="nil"/>
              <w:right w:val="nil"/>
            </w:tcBorders>
            <w:noWrap/>
            <w:hideMark/>
          </w:tcPr>
          <w:p w14:paraId="4915899F"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5A4D6FD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14</w:t>
            </w:r>
          </w:p>
        </w:tc>
      </w:tr>
      <w:tr w:rsidR="0024586E" w:rsidRPr="0021143E" w14:paraId="49B06C16" w14:textId="77777777" w:rsidTr="009A58B0">
        <w:trPr>
          <w:trHeight w:val="290"/>
        </w:trPr>
        <w:tc>
          <w:tcPr>
            <w:tcW w:w="2381" w:type="pct"/>
            <w:tcBorders>
              <w:top w:val="single" w:sz="4" w:space="0" w:color="8ED973"/>
              <w:left w:val="single" w:sz="4" w:space="0" w:color="4EA72E"/>
              <w:bottom w:val="nil"/>
              <w:right w:val="nil"/>
            </w:tcBorders>
            <w:hideMark/>
          </w:tcPr>
          <w:p w14:paraId="7CF7EBD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Procento 15letých žáků s aspirací dosáhnout vysokoškolského vzdělání</w:t>
            </w:r>
          </w:p>
        </w:tc>
        <w:tc>
          <w:tcPr>
            <w:tcW w:w="648" w:type="pct"/>
            <w:tcBorders>
              <w:top w:val="single" w:sz="4" w:space="0" w:color="8ED973"/>
              <w:left w:val="nil"/>
              <w:bottom w:val="nil"/>
              <w:right w:val="nil"/>
            </w:tcBorders>
            <w:noWrap/>
            <w:hideMark/>
          </w:tcPr>
          <w:p w14:paraId="4E1F311B"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Účast na vzdělávání</w:t>
            </w:r>
          </w:p>
        </w:tc>
        <w:tc>
          <w:tcPr>
            <w:tcW w:w="1189" w:type="pct"/>
            <w:tcBorders>
              <w:top w:val="single" w:sz="4" w:space="0" w:color="8ED973"/>
              <w:left w:val="nil"/>
              <w:bottom w:val="nil"/>
              <w:right w:val="nil"/>
            </w:tcBorders>
            <w:noWrap/>
            <w:hideMark/>
          </w:tcPr>
          <w:p w14:paraId="1DABB3D9"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Vzdělanostní aspirace</w:t>
            </w:r>
          </w:p>
        </w:tc>
        <w:tc>
          <w:tcPr>
            <w:tcW w:w="541" w:type="pct"/>
            <w:tcBorders>
              <w:top w:val="single" w:sz="4" w:space="0" w:color="8ED973"/>
              <w:left w:val="nil"/>
              <w:bottom w:val="nil"/>
              <w:right w:val="nil"/>
            </w:tcBorders>
            <w:noWrap/>
            <w:hideMark/>
          </w:tcPr>
          <w:p w14:paraId="5F1F59E8"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50C8FD7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7A65E755" w14:textId="77777777" w:rsidTr="009A58B0">
        <w:trPr>
          <w:trHeight w:val="290"/>
        </w:trPr>
        <w:tc>
          <w:tcPr>
            <w:tcW w:w="2381" w:type="pct"/>
            <w:tcBorders>
              <w:top w:val="single" w:sz="4" w:space="0" w:color="8ED973"/>
              <w:left w:val="single" w:sz="4" w:space="0" w:color="4EA72E"/>
              <w:bottom w:val="nil"/>
              <w:right w:val="nil"/>
            </w:tcBorders>
            <w:hideMark/>
          </w:tcPr>
          <w:p w14:paraId="102F682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žáků opakujících ročník v ZŠ</w:t>
            </w:r>
          </w:p>
        </w:tc>
        <w:tc>
          <w:tcPr>
            <w:tcW w:w="648" w:type="pct"/>
            <w:tcBorders>
              <w:top w:val="single" w:sz="4" w:space="0" w:color="8ED973"/>
              <w:left w:val="nil"/>
              <w:bottom w:val="nil"/>
              <w:right w:val="nil"/>
            </w:tcBorders>
            <w:noWrap/>
            <w:hideMark/>
          </w:tcPr>
          <w:p w14:paraId="05BA6F3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Výsledky vzdělávání</w:t>
            </w:r>
          </w:p>
        </w:tc>
        <w:tc>
          <w:tcPr>
            <w:tcW w:w="1189" w:type="pct"/>
            <w:tcBorders>
              <w:top w:val="single" w:sz="4" w:space="0" w:color="8ED973"/>
              <w:left w:val="nil"/>
              <w:bottom w:val="nil"/>
              <w:right w:val="nil"/>
            </w:tcBorders>
            <w:noWrap/>
            <w:hideMark/>
          </w:tcPr>
          <w:p w14:paraId="5C485CED"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Opakování ročníku</w:t>
            </w:r>
          </w:p>
        </w:tc>
        <w:tc>
          <w:tcPr>
            <w:tcW w:w="541" w:type="pct"/>
            <w:tcBorders>
              <w:top w:val="single" w:sz="4" w:space="0" w:color="8ED973"/>
              <w:left w:val="nil"/>
              <w:bottom w:val="nil"/>
              <w:right w:val="nil"/>
            </w:tcBorders>
            <w:noWrap/>
            <w:hideMark/>
          </w:tcPr>
          <w:p w14:paraId="5F21DDCB"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1468B9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47E7FC28" w14:textId="77777777" w:rsidTr="009A58B0">
        <w:trPr>
          <w:trHeight w:val="290"/>
        </w:trPr>
        <w:tc>
          <w:tcPr>
            <w:tcW w:w="2381" w:type="pct"/>
            <w:tcBorders>
              <w:top w:val="single" w:sz="4" w:space="0" w:color="8ED973"/>
              <w:left w:val="single" w:sz="4" w:space="0" w:color="4EA72E"/>
              <w:bottom w:val="nil"/>
              <w:right w:val="nil"/>
            </w:tcBorders>
            <w:hideMark/>
          </w:tcPr>
          <w:p w14:paraId="3268B30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žáků opakujících ročník na 1. stupni ZŠ</w:t>
            </w:r>
          </w:p>
        </w:tc>
        <w:tc>
          <w:tcPr>
            <w:tcW w:w="648" w:type="pct"/>
            <w:tcBorders>
              <w:top w:val="single" w:sz="4" w:space="0" w:color="8ED973"/>
              <w:left w:val="nil"/>
              <w:bottom w:val="nil"/>
              <w:right w:val="nil"/>
            </w:tcBorders>
            <w:noWrap/>
            <w:hideMark/>
          </w:tcPr>
          <w:p w14:paraId="75A8AC7E"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Výsledky vzdělávání</w:t>
            </w:r>
          </w:p>
        </w:tc>
        <w:tc>
          <w:tcPr>
            <w:tcW w:w="1189" w:type="pct"/>
            <w:tcBorders>
              <w:top w:val="single" w:sz="4" w:space="0" w:color="8ED973"/>
              <w:left w:val="nil"/>
              <w:bottom w:val="nil"/>
              <w:right w:val="nil"/>
            </w:tcBorders>
            <w:noWrap/>
            <w:hideMark/>
          </w:tcPr>
          <w:p w14:paraId="62EE4A45"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Opakování ročníku</w:t>
            </w:r>
          </w:p>
        </w:tc>
        <w:tc>
          <w:tcPr>
            <w:tcW w:w="541" w:type="pct"/>
            <w:tcBorders>
              <w:top w:val="single" w:sz="4" w:space="0" w:color="8ED973"/>
              <w:left w:val="nil"/>
              <w:bottom w:val="nil"/>
              <w:right w:val="nil"/>
            </w:tcBorders>
            <w:noWrap/>
            <w:hideMark/>
          </w:tcPr>
          <w:p w14:paraId="6AA4138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338D1EEB"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394A6AA5" w14:textId="77777777" w:rsidTr="009A58B0">
        <w:trPr>
          <w:trHeight w:val="290"/>
        </w:trPr>
        <w:tc>
          <w:tcPr>
            <w:tcW w:w="2381" w:type="pct"/>
            <w:tcBorders>
              <w:top w:val="single" w:sz="4" w:space="0" w:color="8ED973"/>
              <w:left w:val="single" w:sz="4" w:space="0" w:color="4EA72E"/>
              <w:bottom w:val="nil"/>
              <w:right w:val="nil"/>
            </w:tcBorders>
            <w:hideMark/>
          </w:tcPr>
          <w:p w14:paraId="29C15BC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Počet počítačů (přístupných žákům) na 100 žáků 1. stupně ZŠ</w:t>
            </w:r>
          </w:p>
        </w:tc>
        <w:tc>
          <w:tcPr>
            <w:tcW w:w="648" w:type="pct"/>
            <w:tcBorders>
              <w:top w:val="single" w:sz="4" w:space="0" w:color="8ED973"/>
              <w:left w:val="nil"/>
              <w:bottom w:val="nil"/>
              <w:right w:val="nil"/>
            </w:tcBorders>
            <w:noWrap/>
            <w:hideMark/>
          </w:tcPr>
          <w:p w14:paraId="79E9D10E"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Výuka</w:t>
            </w:r>
          </w:p>
        </w:tc>
        <w:tc>
          <w:tcPr>
            <w:tcW w:w="1189" w:type="pct"/>
            <w:tcBorders>
              <w:top w:val="single" w:sz="4" w:space="0" w:color="8ED973"/>
              <w:left w:val="nil"/>
              <w:bottom w:val="nil"/>
              <w:right w:val="nil"/>
            </w:tcBorders>
            <w:noWrap/>
            <w:hideMark/>
          </w:tcPr>
          <w:p w14:paraId="1A05ED0A"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ICT</w:t>
            </w:r>
          </w:p>
        </w:tc>
        <w:tc>
          <w:tcPr>
            <w:tcW w:w="541" w:type="pct"/>
            <w:tcBorders>
              <w:top w:val="single" w:sz="4" w:space="0" w:color="8ED973"/>
              <w:left w:val="nil"/>
              <w:bottom w:val="nil"/>
              <w:right w:val="nil"/>
            </w:tcBorders>
            <w:noWrap/>
            <w:hideMark/>
          </w:tcPr>
          <w:p w14:paraId="70636249"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2FBE799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6350C6B3" w14:textId="77777777" w:rsidTr="009A58B0">
        <w:trPr>
          <w:trHeight w:val="290"/>
        </w:trPr>
        <w:tc>
          <w:tcPr>
            <w:tcW w:w="2381" w:type="pct"/>
            <w:tcBorders>
              <w:top w:val="single" w:sz="4" w:space="0" w:color="8ED973"/>
              <w:left w:val="single" w:sz="4" w:space="0" w:color="4EA72E"/>
              <w:bottom w:val="nil"/>
              <w:right w:val="nil"/>
            </w:tcBorders>
            <w:hideMark/>
          </w:tcPr>
          <w:p w14:paraId="76EA13E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Počet počítačů (přístupných žákům) na 100 žáků 2. stupně ZŠ</w:t>
            </w:r>
          </w:p>
        </w:tc>
        <w:tc>
          <w:tcPr>
            <w:tcW w:w="648" w:type="pct"/>
            <w:tcBorders>
              <w:top w:val="single" w:sz="4" w:space="0" w:color="8ED973"/>
              <w:left w:val="nil"/>
              <w:bottom w:val="nil"/>
              <w:right w:val="nil"/>
            </w:tcBorders>
            <w:noWrap/>
            <w:hideMark/>
          </w:tcPr>
          <w:p w14:paraId="0D0A8E9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Výuka</w:t>
            </w:r>
          </w:p>
        </w:tc>
        <w:tc>
          <w:tcPr>
            <w:tcW w:w="1189" w:type="pct"/>
            <w:tcBorders>
              <w:top w:val="single" w:sz="4" w:space="0" w:color="8ED973"/>
              <w:left w:val="nil"/>
              <w:bottom w:val="nil"/>
              <w:right w:val="nil"/>
            </w:tcBorders>
            <w:noWrap/>
            <w:hideMark/>
          </w:tcPr>
          <w:p w14:paraId="690BF7B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ICT</w:t>
            </w:r>
          </w:p>
        </w:tc>
        <w:tc>
          <w:tcPr>
            <w:tcW w:w="541" w:type="pct"/>
            <w:tcBorders>
              <w:top w:val="single" w:sz="4" w:space="0" w:color="8ED973"/>
              <w:left w:val="nil"/>
              <w:bottom w:val="nil"/>
              <w:right w:val="nil"/>
            </w:tcBorders>
            <w:noWrap/>
            <w:hideMark/>
          </w:tcPr>
          <w:p w14:paraId="0B2AF350"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nil"/>
              <w:right w:val="single" w:sz="4" w:space="0" w:color="4EA72E"/>
            </w:tcBorders>
            <w:noWrap/>
            <w:hideMark/>
          </w:tcPr>
          <w:p w14:paraId="09C4F0A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54D9ECCD" w14:textId="77777777" w:rsidTr="009A58B0">
        <w:trPr>
          <w:trHeight w:val="290"/>
        </w:trPr>
        <w:tc>
          <w:tcPr>
            <w:tcW w:w="2381" w:type="pct"/>
            <w:tcBorders>
              <w:top w:val="single" w:sz="4" w:space="0" w:color="8ED973"/>
              <w:left w:val="single" w:sz="4" w:space="0" w:color="4EA72E"/>
              <w:bottom w:val="nil"/>
              <w:right w:val="nil"/>
            </w:tcBorders>
            <w:hideMark/>
          </w:tcPr>
          <w:p w14:paraId="2CE3BC49"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Počet počítačů (přístupných žákům) na 100 žáků SŠ</w:t>
            </w:r>
          </w:p>
        </w:tc>
        <w:tc>
          <w:tcPr>
            <w:tcW w:w="648" w:type="pct"/>
            <w:tcBorders>
              <w:top w:val="single" w:sz="4" w:space="0" w:color="8ED973"/>
              <w:left w:val="nil"/>
              <w:bottom w:val="nil"/>
              <w:right w:val="nil"/>
            </w:tcBorders>
            <w:noWrap/>
            <w:hideMark/>
          </w:tcPr>
          <w:p w14:paraId="37BB0EA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Výuka</w:t>
            </w:r>
          </w:p>
        </w:tc>
        <w:tc>
          <w:tcPr>
            <w:tcW w:w="1189" w:type="pct"/>
            <w:tcBorders>
              <w:top w:val="single" w:sz="4" w:space="0" w:color="8ED973"/>
              <w:left w:val="nil"/>
              <w:bottom w:val="nil"/>
              <w:right w:val="nil"/>
            </w:tcBorders>
            <w:noWrap/>
            <w:hideMark/>
          </w:tcPr>
          <w:p w14:paraId="1E2D866B"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ICT</w:t>
            </w:r>
          </w:p>
        </w:tc>
        <w:tc>
          <w:tcPr>
            <w:tcW w:w="541" w:type="pct"/>
            <w:tcBorders>
              <w:top w:val="single" w:sz="4" w:space="0" w:color="8ED973"/>
              <w:left w:val="nil"/>
              <w:bottom w:val="nil"/>
              <w:right w:val="nil"/>
            </w:tcBorders>
            <w:noWrap/>
            <w:hideMark/>
          </w:tcPr>
          <w:p w14:paraId="538A6C5E"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SŠ</w:t>
            </w:r>
          </w:p>
        </w:tc>
        <w:tc>
          <w:tcPr>
            <w:tcW w:w="241" w:type="pct"/>
            <w:tcBorders>
              <w:top w:val="single" w:sz="4" w:space="0" w:color="8ED973"/>
              <w:left w:val="nil"/>
              <w:bottom w:val="nil"/>
              <w:right w:val="single" w:sz="4" w:space="0" w:color="4EA72E"/>
            </w:tcBorders>
            <w:noWrap/>
            <w:hideMark/>
          </w:tcPr>
          <w:p w14:paraId="006C468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09B0B266" w14:textId="77777777" w:rsidTr="009A58B0">
        <w:trPr>
          <w:trHeight w:val="520"/>
        </w:trPr>
        <w:tc>
          <w:tcPr>
            <w:tcW w:w="2381" w:type="pct"/>
            <w:tcBorders>
              <w:top w:val="single" w:sz="4" w:space="0" w:color="8ED973"/>
              <w:left w:val="single" w:sz="4" w:space="0" w:color="4EA72E"/>
              <w:bottom w:val="nil"/>
              <w:right w:val="nil"/>
            </w:tcBorders>
            <w:hideMark/>
          </w:tcPr>
          <w:p w14:paraId="475E4CD0"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Podíl žáků vyjadřujících souhlas s výrokem "Cítím, že do školy patřím" (PISA, 15letí)</w:t>
            </w:r>
          </w:p>
        </w:tc>
        <w:tc>
          <w:tcPr>
            <w:tcW w:w="648" w:type="pct"/>
            <w:tcBorders>
              <w:top w:val="single" w:sz="4" w:space="0" w:color="8ED973"/>
              <w:left w:val="nil"/>
              <w:bottom w:val="nil"/>
              <w:right w:val="nil"/>
            </w:tcBorders>
            <w:noWrap/>
            <w:hideMark/>
          </w:tcPr>
          <w:p w14:paraId="07B5B2CA"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Well-being</w:t>
            </w:r>
          </w:p>
        </w:tc>
        <w:tc>
          <w:tcPr>
            <w:tcW w:w="1189" w:type="pct"/>
            <w:tcBorders>
              <w:top w:val="single" w:sz="4" w:space="0" w:color="8ED973"/>
              <w:left w:val="nil"/>
              <w:bottom w:val="nil"/>
              <w:right w:val="nil"/>
            </w:tcBorders>
            <w:noWrap/>
            <w:hideMark/>
          </w:tcPr>
          <w:p w14:paraId="6098A01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Sounáležitost se školou</w:t>
            </w:r>
          </w:p>
        </w:tc>
        <w:tc>
          <w:tcPr>
            <w:tcW w:w="541" w:type="pct"/>
            <w:tcBorders>
              <w:top w:val="single" w:sz="4" w:space="0" w:color="8ED973"/>
              <w:left w:val="nil"/>
              <w:bottom w:val="nil"/>
              <w:right w:val="nil"/>
            </w:tcBorders>
            <w:noWrap/>
            <w:hideMark/>
          </w:tcPr>
          <w:p w14:paraId="5A424861"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3BDF89A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6B07EC81" w14:textId="77777777" w:rsidTr="009A58B0">
        <w:trPr>
          <w:trHeight w:val="290"/>
        </w:trPr>
        <w:tc>
          <w:tcPr>
            <w:tcW w:w="2381" w:type="pct"/>
            <w:tcBorders>
              <w:top w:val="single" w:sz="4" w:space="0" w:color="8ED973"/>
              <w:left w:val="single" w:sz="4" w:space="0" w:color="4EA72E"/>
              <w:bottom w:val="nil"/>
              <w:right w:val="nil"/>
            </w:tcBorders>
            <w:hideMark/>
          </w:tcPr>
          <w:p w14:paraId="5AB8A7A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Index pocitu sounáležitosti (PISA, 15letí)</w:t>
            </w:r>
          </w:p>
        </w:tc>
        <w:tc>
          <w:tcPr>
            <w:tcW w:w="648" w:type="pct"/>
            <w:tcBorders>
              <w:top w:val="single" w:sz="4" w:space="0" w:color="8ED973"/>
              <w:left w:val="nil"/>
              <w:bottom w:val="nil"/>
              <w:right w:val="nil"/>
            </w:tcBorders>
            <w:noWrap/>
            <w:hideMark/>
          </w:tcPr>
          <w:p w14:paraId="79049F23"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Well-being</w:t>
            </w:r>
          </w:p>
        </w:tc>
        <w:tc>
          <w:tcPr>
            <w:tcW w:w="1189" w:type="pct"/>
            <w:tcBorders>
              <w:top w:val="single" w:sz="4" w:space="0" w:color="8ED973"/>
              <w:left w:val="nil"/>
              <w:bottom w:val="nil"/>
              <w:right w:val="nil"/>
            </w:tcBorders>
            <w:noWrap/>
            <w:hideMark/>
          </w:tcPr>
          <w:p w14:paraId="4159EA0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Sounáležitost se školou</w:t>
            </w:r>
          </w:p>
        </w:tc>
        <w:tc>
          <w:tcPr>
            <w:tcW w:w="541" w:type="pct"/>
            <w:tcBorders>
              <w:top w:val="single" w:sz="4" w:space="0" w:color="8ED973"/>
              <w:left w:val="nil"/>
              <w:bottom w:val="nil"/>
              <w:right w:val="nil"/>
            </w:tcBorders>
            <w:noWrap/>
            <w:hideMark/>
          </w:tcPr>
          <w:p w14:paraId="31736F4D"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 SŠ</w:t>
            </w:r>
          </w:p>
        </w:tc>
        <w:tc>
          <w:tcPr>
            <w:tcW w:w="241" w:type="pct"/>
            <w:tcBorders>
              <w:top w:val="single" w:sz="4" w:space="0" w:color="8ED973"/>
              <w:left w:val="nil"/>
              <w:bottom w:val="nil"/>
              <w:right w:val="single" w:sz="4" w:space="0" w:color="4EA72E"/>
            </w:tcBorders>
            <w:noWrap/>
            <w:hideMark/>
          </w:tcPr>
          <w:p w14:paraId="34819A44"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2</w:t>
            </w:r>
          </w:p>
        </w:tc>
      </w:tr>
      <w:tr w:rsidR="0024586E" w:rsidRPr="0021143E" w14:paraId="31AA00C4" w14:textId="77777777" w:rsidTr="009A58B0">
        <w:trPr>
          <w:trHeight w:val="290"/>
        </w:trPr>
        <w:tc>
          <w:tcPr>
            <w:tcW w:w="2381" w:type="pct"/>
            <w:tcBorders>
              <w:top w:val="single" w:sz="4" w:space="0" w:color="8ED973"/>
              <w:left w:val="single" w:sz="4" w:space="0" w:color="4EA72E"/>
              <w:bottom w:val="single" w:sz="4" w:space="0" w:color="4EA72E"/>
              <w:right w:val="nil"/>
            </w:tcBorders>
            <w:hideMark/>
          </w:tcPr>
          <w:p w14:paraId="2A090DD8"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 xml:space="preserve">Pocit sounáležitosti </w:t>
            </w:r>
            <w:proofErr w:type="gramStart"/>
            <w:r w:rsidRPr="0021143E">
              <w:rPr>
                <w:rFonts w:eastAsia="Times New Roman" w:cs="Calibri"/>
                <w:color w:val="000000"/>
                <w:sz w:val="20"/>
                <w:szCs w:val="20"/>
                <w:lang w:eastAsia="cs-CZ"/>
              </w:rPr>
              <w:t>TIMSS - žáci</w:t>
            </w:r>
            <w:proofErr w:type="gramEnd"/>
            <w:r w:rsidRPr="0021143E">
              <w:rPr>
                <w:rFonts w:eastAsia="Times New Roman" w:cs="Calibri"/>
                <w:color w:val="000000"/>
                <w:sz w:val="20"/>
                <w:szCs w:val="20"/>
                <w:lang w:eastAsia="cs-CZ"/>
              </w:rPr>
              <w:t xml:space="preserve"> 4. ročníků ZŠ</w:t>
            </w:r>
          </w:p>
        </w:tc>
        <w:tc>
          <w:tcPr>
            <w:tcW w:w="648" w:type="pct"/>
            <w:tcBorders>
              <w:top w:val="single" w:sz="4" w:space="0" w:color="8ED973"/>
              <w:left w:val="nil"/>
              <w:bottom w:val="single" w:sz="4" w:space="0" w:color="4EA72E"/>
              <w:right w:val="nil"/>
            </w:tcBorders>
            <w:noWrap/>
            <w:hideMark/>
          </w:tcPr>
          <w:p w14:paraId="3864F069"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Well-being</w:t>
            </w:r>
          </w:p>
        </w:tc>
        <w:tc>
          <w:tcPr>
            <w:tcW w:w="1189" w:type="pct"/>
            <w:tcBorders>
              <w:top w:val="single" w:sz="4" w:space="0" w:color="8ED973"/>
              <w:left w:val="nil"/>
              <w:bottom w:val="single" w:sz="4" w:space="0" w:color="4EA72E"/>
              <w:right w:val="nil"/>
            </w:tcBorders>
            <w:noWrap/>
            <w:hideMark/>
          </w:tcPr>
          <w:p w14:paraId="1367B6ED"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Sounáležitost se školou</w:t>
            </w:r>
          </w:p>
        </w:tc>
        <w:tc>
          <w:tcPr>
            <w:tcW w:w="541" w:type="pct"/>
            <w:tcBorders>
              <w:top w:val="single" w:sz="4" w:space="0" w:color="8ED973"/>
              <w:left w:val="nil"/>
              <w:bottom w:val="single" w:sz="4" w:space="0" w:color="4EA72E"/>
              <w:right w:val="nil"/>
            </w:tcBorders>
            <w:noWrap/>
            <w:hideMark/>
          </w:tcPr>
          <w:p w14:paraId="0CE16037"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ZŠ</w:t>
            </w:r>
          </w:p>
        </w:tc>
        <w:tc>
          <w:tcPr>
            <w:tcW w:w="241" w:type="pct"/>
            <w:tcBorders>
              <w:top w:val="single" w:sz="4" w:space="0" w:color="8ED973"/>
              <w:left w:val="nil"/>
              <w:bottom w:val="single" w:sz="4" w:space="0" w:color="4EA72E"/>
              <w:right w:val="single" w:sz="4" w:space="0" w:color="4EA72E"/>
            </w:tcBorders>
            <w:noWrap/>
            <w:hideMark/>
          </w:tcPr>
          <w:p w14:paraId="3D34E7B6" w14:textId="77777777" w:rsidR="0024586E" w:rsidRPr="0021143E" w:rsidRDefault="0024586E" w:rsidP="009574F4">
            <w:pPr>
              <w:spacing w:after="0"/>
              <w:rPr>
                <w:rFonts w:eastAsia="Times New Roman" w:cs="Calibri"/>
                <w:color w:val="000000"/>
                <w:sz w:val="20"/>
                <w:szCs w:val="20"/>
                <w:lang w:eastAsia="cs-CZ"/>
              </w:rPr>
            </w:pPr>
            <w:r w:rsidRPr="0021143E">
              <w:rPr>
                <w:rFonts w:eastAsia="Times New Roman" w:cs="Calibri"/>
                <w:color w:val="000000"/>
                <w:sz w:val="20"/>
                <w:szCs w:val="20"/>
                <w:lang w:eastAsia="cs-CZ"/>
              </w:rPr>
              <w:t>13</w:t>
            </w:r>
          </w:p>
        </w:tc>
      </w:tr>
    </w:tbl>
    <w:p w14:paraId="61EC3C43" w14:textId="77777777" w:rsidR="0024586E" w:rsidRDefault="0024586E" w:rsidP="0024586E"/>
    <w:p w14:paraId="5F1B2A3D" w14:textId="77777777" w:rsidR="0024586E" w:rsidRPr="00D833E2" w:rsidRDefault="0024586E" w:rsidP="000F6D97">
      <w:pPr>
        <w:jc w:val="both"/>
      </w:pPr>
    </w:p>
    <w:sectPr w:rsidR="0024586E" w:rsidRPr="00D833E2" w:rsidSect="00B61261">
      <w:pgSz w:w="16838" w:h="11906" w:orient="landscape" w:code="9"/>
      <w:pgMar w:top="1021" w:right="1418"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B861" w14:textId="77777777" w:rsidR="00E25DE7" w:rsidRDefault="00E25DE7" w:rsidP="0070784A">
      <w:pPr>
        <w:spacing w:after="0"/>
      </w:pPr>
      <w:r>
        <w:separator/>
      </w:r>
    </w:p>
  </w:endnote>
  <w:endnote w:type="continuationSeparator" w:id="0">
    <w:p w14:paraId="6A0301BF" w14:textId="77777777" w:rsidR="00E25DE7" w:rsidRDefault="00E25DE7" w:rsidP="0070784A">
      <w:pPr>
        <w:spacing w:after="0"/>
      </w:pPr>
      <w:r>
        <w:continuationSeparator/>
      </w:r>
    </w:p>
  </w:endnote>
  <w:endnote w:type="continuationNotice" w:id="1">
    <w:p w14:paraId="5709A027" w14:textId="77777777" w:rsidR="00E25DE7" w:rsidRDefault="00E25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BA18" w14:textId="77777777" w:rsidR="00EE428C" w:rsidRPr="00D717E8" w:rsidRDefault="00EE428C" w:rsidP="00D717E8">
    <w:pPr>
      <w:pStyle w:val="Zpat"/>
    </w:pPr>
    <w:r>
      <w:rPr>
        <w:noProof/>
        <w:lang w:eastAsia="cs-CZ"/>
      </w:rPr>
      <w:drawing>
        <wp:anchor distT="0" distB="0" distL="114300" distR="114300" simplePos="0" relativeHeight="251658240" behindDoc="1" locked="0" layoutInCell="1" allowOverlap="1" wp14:anchorId="7A00938F" wp14:editId="36B5EAA7">
          <wp:simplePos x="0" y="0"/>
          <wp:positionH relativeFrom="column">
            <wp:posOffset>-671293</wp:posOffset>
          </wp:positionH>
          <wp:positionV relativeFrom="page">
            <wp:posOffset>10173970</wp:posOffset>
          </wp:positionV>
          <wp:extent cx="7556400" cy="493200"/>
          <wp:effectExtent l="0" t="0" r="0" b="2540"/>
          <wp:wrapNone/>
          <wp:docPr id="221049270" name="Obrázek 22104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CE6E" w14:textId="77777777" w:rsidR="00E25DE7" w:rsidRDefault="00E25DE7" w:rsidP="0070784A">
      <w:pPr>
        <w:spacing w:after="0"/>
      </w:pPr>
      <w:r>
        <w:separator/>
      </w:r>
    </w:p>
  </w:footnote>
  <w:footnote w:type="continuationSeparator" w:id="0">
    <w:p w14:paraId="0077DE8B" w14:textId="77777777" w:rsidR="00E25DE7" w:rsidRDefault="00E25DE7" w:rsidP="0070784A">
      <w:pPr>
        <w:spacing w:after="0"/>
      </w:pPr>
      <w:r>
        <w:continuationSeparator/>
      </w:r>
    </w:p>
  </w:footnote>
  <w:footnote w:type="continuationNotice" w:id="1">
    <w:p w14:paraId="7075EF3B" w14:textId="77777777" w:rsidR="00E25DE7" w:rsidRDefault="00E25DE7">
      <w:pPr>
        <w:spacing w:after="0"/>
      </w:pPr>
    </w:p>
  </w:footnote>
  <w:footnote w:id="2">
    <w:p w14:paraId="3A489BE5" w14:textId="77777777" w:rsidR="00D765F0" w:rsidRPr="00DC63E3" w:rsidRDefault="00D765F0" w:rsidP="00DC63E3">
      <w:pPr>
        <w:spacing w:after="0"/>
        <w:rPr>
          <w:rFonts w:cs="Calibri"/>
          <w:sz w:val="20"/>
          <w:szCs w:val="20"/>
        </w:rPr>
      </w:pPr>
      <w:r>
        <w:rPr>
          <w:rStyle w:val="Znakapoznpodarou"/>
        </w:rPr>
        <w:footnoteRef/>
      </w:r>
      <w:r>
        <w:t xml:space="preserve"> </w:t>
      </w:r>
      <w:r w:rsidRPr="00DC63E3">
        <w:rPr>
          <w:rFonts w:cs="Calibri"/>
          <w:sz w:val="20"/>
          <w:szCs w:val="20"/>
        </w:rPr>
        <w:t>Postup vyhledávání takovýchto indikátorů byl pracovně formalizován následujícím způsobem:</w:t>
      </w:r>
    </w:p>
    <w:p w14:paraId="0E917C6E" w14:textId="77777777" w:rsidR="00D765F0" w:rsidRPr="00DC63E3" w:rsidRDefault="00D765F0" w:rsidP="00DC63E3">
      <w:pPr>
        <w:spacing w:after="0"/>
        <w:rPr>
          <w:rFonts w:cs="Calibri"/>
          <w:sz w:val="20"/>
          <w:szCs w:val="20"/>
        </w:rPr>
      </w:pPr>
      <w:r w:rsidRPr="00DC63E3">
        <w:rPr>
          <w:rFonts w:cs="Calibri"/>
          <w:sz w:val="20"/>
          <w:szCs w:val="20"/>
        </w:rPr>
        <w:t xml:space="preserve">Každá časová řada se skládá z ukazatelů </w:t>
      </w:r>
      <w:proofErr w:type="spellStart"/>
      <w:proofErr w:type="gramStart"/>
      <w:r w:rsidRPr="00DC63E3">
        <w:rPr>
          <w:rFonts w:cs="Calibri"/>
          <w:sz w:val="20"/>
          <w:szCs w:val="20"/>
        </w:rPr>
        <w:t>x</w:t>
      </w:r>
      <w:r w:rsidRPr="00DC63E3">
        <w:rPr>
          <w:rFonts w:cs="Calibri"/>
          <w:sz w:val="20"/>
          <w:szCs w:val="20"/>
          <w:vertAlign w:val="subscript"/>
        </w:rPr>
        <w:t>t</w:t>
      </w:r>
      <w:proofErr w:type="spellEnd"/>
      <w:r w:rsidRPr="00DC63E3">
        <w:rPr>
          <w:rFonts w:cs="Calibri"/>
          <w:sz w:val="20"/>
          <w:szCs w:val="20"/>
          <w:vertAlign w:val="subscript"/>
        </w:rPr>
        <w:t>,,</w:t>
      </w:r>
      <w:proofErr w:type="gramEnd"/>
      <w:r w:rsidRPr="00DC63E3">
        <w:rPr>
          <w:rFonts w:cs="Calibri"/>
          <w:sz w:val="20"/>
          <w:szCs w:val="20"/>
          <w:vertAlign w:val="subscript"/>
        </w:rPr>
        <w:t xml:space="preserve"> </w:t>
      </w:r>
      <w:r w:rsidRPr="00DC63E3">
        <w:rPr>
          <w:rFonts w:cs="Calibri"/>
          <w:sz w:val="20"/>
          <w:szCs w:val="20"/>
        </w:rPr>
        <w:t xml:space="preserve">kde t značí jednotlivé roky časové řady (t=1, </w:t>
      </w:r>
      <w:proofErr w:type="gramStart"/>
      <w:r w:rsidRPr="00DC63E3">
        <w:rPr>
          <w:rFonts w:cs="Calibri"/>
          <w:sz w:val="20"/>
          <w:szCs w:val="20"/>
        </w:rPr>
        <w:t>2,…</w:t>
      </w:r>
      <w:proofErr w:type="gramEnd"/>
      <w:r w:rsidRPr="00DC63E3">
        <w:rPr>
          <w:rFonts w:cs="Calibri"/>
          <w:sz w:val="20"/>
          <w:szCs w:val="20"/>
        </w:rPr>
        <w:t>,T).</w:t>
      </w:r>
    </w:p>
    <w:p w14:paraId="7E5F5270" w14:textId="77777777" w:rsidR="00D765F0" w:rsidRPr="00DC63E3" w:rsidRDefault="00D765F0" w:rsidP="00DC63E3">
      <w:pPr>
        <w:spacing w:after="0"/>
        <w:rPr>
          <w:rFonts w:cs="Calibri"/>
          <w:sz w:val="20"/>
          <w:szCs w:val="20"/>
        </w:rPr>
      </w:pPr>
      <w:r w:rsidRPr="00DC63E3">
        <w:rPr>
          <w:rFonts w:cs="Calibri"/>
          <w:sz w:val="20"/>
          <w:szCs w:val="20"/>
        </w:rPr>
        <w:t xml:space="preserve">Byly spočítány rozdíly po sobě jdoucích hodnot </w:t>
      </w:r>
      <m:oMath>
        <m:sSub>
          <m:sSubPr>
            <m:ctrlPr>
              <w:rPr>
                <w:rFonts w:ascii="Cambria Math" w:hAnsi="Cambria Math" w:cs="Calibri"/>
                <w:sz w:val="20"/>
                <w:szCs w:val="20"/>
              </w:rPr>
            </m:ctrlPr>
          </m:sSubPr>
          <m:e>
            <m:r>
              <m:rPr>
                <m:sty m:val="p"/>
              </m:rPr>
              <w:rPr>
                <w:rFonts w:ascii="Cambria Math" w:hAnsi="Cambria Math" w:cs="Calibri"/>
                <w:sz w:val="20"/>
                <w:szCs w:val="20"/>
              </w:rPr>
              <m:t>d</m:t>
            </m:r>
          </m:e>
          <m:sub>
            <m:r>
              <m:rPr>
                <m:sty m:val="p"/>
              </m:rPr>
              <w:rPr>
                <w:rFonts w:ascii="Cambria Math" w:hAnsi="Cambria Math" w:cs="Calibri"/>
                <w:sz w:val="20"/>
                <w:szCs w:val="20"/>
              </w:rPr>
              <m:t>t</m:t>
            </m:r>
          </m:sub>
        </m:sSub>
        <m:r>
          <m:rPr>
            <m:sty m:val="p"/>
          </m:rPr>
          <w:rPr>
            <w:rFonts w:ascii="Cambria Math" w:hAnsi="Cambria Math" w:cs="Calibri"/>
            <w:sz w:val="20"/>
            <w:szCs w:val="20"/>
          </w:rPr>
          <m:t>=</m:t>
        </m:r>
        <m:sSub>
          <m:sSubPr>
            <m:ctrlPr>
              <w:rPr>
                <w:rFonts w:ascii="Cambria Math" w:hAnsi="Cambria Math" w:cs="Calibri"/>
                <w:sz w:val="20"/>
                <w:szCs w:val="20"/>
              </w:rPr>
            </m:ctrlPr>
          </m:sSubPr>
          <m:e>
            <m:r>
              <m:rPr>
                <m:sty m:val="p"/>
              </m:rPr>
              <w:rPr>
                <w:rFonts w:ascii="Cambria Math" w:hAnsi="Cambria Math" w:cs="Calibri"/>
                <w:sz w:val="20"/>
                <w:szCs w:val="20"/>
              </w:rPr>
              <m:t>x</m:t>
            </m:r>
          </m:e>
          <m:sub>
            <m:r>
              <m:rPr>
                <m:sty m:val="p"/>
              </m:rPr>
              <w:rPr>
                <w:rFonts w:ascii="Cambria Math" w:hAnsi="Cambria Math" w:cs="Calibri"/>
                <w:sz w:val="20"/>
                <w:szCs w:val="20"/>
              </w:rPr>
              <m:t>t</m:t>
            </m:r>
          </m:sub>
        </m:sSub>
        <m:r>
          <m:rPr>
            <m:sty m:val="p"/>
          </m:rPr>
          <w:rPr>
            <w:rFonts w:ascii="Cambria Math" w:hAnsi="Cambria Math" w:cs="Calibri"/>
            <w:sz w:val="20"/>
            <w:szCs w:val="20"/>
          </w:rPr>
          <m:t>-</m:t>
        </m:r>
        <m:sSub>
          <m:sSubPr>
            <m:ctrlPr>
              <w:rPr>
                <w:rFonts w:ascii="Cambria Math" w:hAnsi="Cambria Math" w:cs="Calibri"/>
                <w:sz w:val="20"/>
                <w:szCs w:val="20"/>
              </w:rPr>
            </m:ctrlPr>
          </m:sSubPr>
          <m:e>
            <m:r>
              <m:rPr>
                <m:sty m:val="p"/>
              </m:rPr>
              <w:rPr>
                <w:rFonts w:ascii="Cambria Math" w:hAnsi="Cambria Math" w:cs="Calibri"/>
                <w:sz w:val="20"/>
                <w:szCs w:val="20"/>
              </w:rPr>
              <m:t>x</m:t>
            </m:r>
          </m:e>
          <m:sub>
            <m:r>
              <m:rPr>
                <m:sty m:val="p"/>
              </m:rPr>
              <w:rPr>
                <w:rFonts w:ascii="Cambria Math" w:hAnsi="Cambria Math" w:cs="Calibri"/>
                <w:sz w:val="20"/>
                <w:szCs w:val="20"/>
              </w:rPr>
              <m:t>t-1</m:t>
            </m:r>
          </m:sub>
        </m:sSub>
        <m:r>
          <m:rPr>
            <m:sty m:val="p"/>
          </m:rPr>
          <w:rPr>
            <w:rFonts w:ascii="Cambria Math" w:hAnsi="Cambria Math" w:cs="Calibri"/>
            <w:sz w:val="20"/>
            <w:szCs w:val="20"/>
          </w:rPr>
          <m:t>,</m:t>
        </m:r>
        <m:r>
          <m:rPr>
            <m:sty m:val="p"/>
          </m:rPr>
          <w:rPr>
            <w:rFonts w:ascii="Cambria Math" w:hAnsi="Cambria Math" w:cs="Calibri"/>
            <w:sz w:val="20"/>
            <w:szCs w:val="20"/>
          </w:rPr>
          <m:t> </m:t>
        </m:r>
        <m:r>
          <m:rPr>
            <m:sty m:val="p"/>
          </m:rPr>
          <w:rPr>
            <w:rFonts w:ascii="Cambria Math" w:hAnsi="Cambria Math" w:cs="Calibri"/>
            <w:sz w:val="20"/>
            <w:szCs w:val="20"/>
          </w:rPr>
          <m:t>t=2,3,…,T</m:t>
        </m:r>
      </m:oMath>
    </w:p>
    <w:p w14:paraId="29EA81A8" w14:textId="77777777" w:rsidR="00D765F0" w:rsidRPr="00DC63E3" w:rsidRDefault="00D765F0" w:rsidP="00DC63E3">
      <w:pPr>
        <w:spacing w:after="0"/>
        <w:rPr>
          <w:rFonts w:cs="Calibri"/>
          <w:sz w:val="20"/>
          <w:szCs w:val="20"/>
        </w:rPr>
      </w:pPr>
      <w:r w:rsidRPr="00DC63E3">
        <w:rPr>
          <w:rFonts w:cs="Calibri"/>
          <w:sz w:val="20"/>
          <w:szCs w:val="20"/>
        </w:rPr>
        <w:t xml:space="preserve">Spočítán byl průměr rozdílů v po sobě jdoucích hodnotách v časové řadě (bez posledního dostupného údaje) </w:t>
      </w:r>
      <m:oMath>
        <m:acc>
          <m:accPr>
            <m:chr m:val="̅"/>
            <m:ctrlPr>
              <w:rPr>
                <w:rFonts w:ascii="Cambria Math" w:hAnsi="Cambria Math" w:cs="Calibri"/>
                <w:sz w:val="20"/>
                <w:szCs w:val="20"/>
              </w:rPr>
            </m:ctrlPr>
          </m:accPr>
          <m:e>
            <m:r>
              <m:rPr>
                <m:sty m:val="p"/>
              </m:rPr>
              <w:rPr>
                <w:rFonts w:ascii="Cambria Math" w:hAnsi="Cambria Math" w:cs="Calibri"/>
                <w:sz w:val="20"/>
                <w:szCs w:val="20"/>
              </w:rPr>
              <m:t>d</m:t>
            </m:r>
          </m:e>
        </m:acc>
        <m:r>
          <m:rPr>
            <m:sty m:val="p"/>
          </m:rPr>
          <w:rPr>
            <w:rFonts w:ascii="Cambria Math" w:hAnsi="Cambria Math" w:cs="Calibri"/>
            <w:sz w:val="20"/>
            <w:szCs w:val="20"/>
          </w:rPr>
          <m:t>=</m:t>
        </m:r>
        <m:f>
          <m:fPr>
            <m:ctrlPr>
              <w:rPr>
                <w:rFonts w:ascii="Cambria Math" w:hAnsi="Cambria Math" w:cs="Calibri"/>
                <w:sz w:val="20"/>
                <w:szCs w:val="20"/>
              </w:rPr>
            </m:ctrlPr>
          </m:fPr>
          <m:num>
            <m:r>
              <m:rPr>
                <m:sty m:val="p"/>
              </m:rPr>
              <w:rPr>
                <w:rFonts w:ascii="Cambria Math" w:hAnsi="Cambria Math" w:cs="Calibri"/>
                <w:sz w:val="20"/>
                <w:szCs w:val="20"/>
              </w:rPr>
              <m:t>1</m:t>
            </m:r>
          </m:num>
          <m:den>
            <m:r>
              <m:rPr>
                <m:sty m:val="p"/>
              </m:rPr>
              <w:rPr>
                <w:rFonts w:ascii="Cambria Math" w:hAnsi="Cambria Math" w:cs="Calibri"/>
                <w:sz w:val="20"/>
                <w:szCs w:val="20"/>
              </w:rPr>
              <m:t>T-2</m:t>
            </m:r>
          </m:den>
        </m:f>
        <m:nary>
          <m:naryPr>
            <m:chr m:val="∑"/>
            <m:ctrlPr>
              <w:rPr>
                <w:rFonts w:ascii="Cambria Math" w:hAnsi="Cambria Math" w:cs="Calibri"/>
                <w:sz w:val="20"/>
                <w:szCs w:val="20"/>
              </w:rPr>
            </m:ctrlPr>
          </m:naryPr>
          <m:sub>
            <m:r>
              <m:rPr>
                <m:sty m:val="p"/>
              </m:rPr>
              <w:rPr>
                <w:rFonts w:ascii="Cambria Math" w:hAnsi="Cambria Math" w:cs="Calibri"/>
                <w:sz w:val="20"/>
                <w:szCs w:val="20"/>
              </w:rPr>
              <m:t>t=2</m:t>
            </m:r>
          </m:sub>
          <m:sup>
            <m:r>
              <m:rPr>
                <m:sty m:val="p"/>
              </m:rPr>
              <w:rPr>
                <w:rFonts w:ascii="Cambria Math" w:hAnsi="Cambria Math" w:cs="Calibri"/>
                <w:sz w:val="20"/>
                <w:szCs w:val="20"/>
              </w:rPr>
              <m:t>T-1</m:t>
            </m:r>
          </m:sup>
          <m:e>
            <m:sSub>
              <m:sSubPr>
                <m:ctrlPr>
                  <w:rPr>
                    <w:rFonts w:ascii="Cambria Math" w:hAnsi="Cambria Math" w:cs="Calibri"/>
                    <w:sz w:val="20"/>
                    <w:szCs w:val="20"/>
                  </w:rPr>
                </m:ctrlPr>
              </m:sSubPr>
              <m:e>
                <m:r>
                  <m:rPr>
                    <m:sty m:val="p"/>
                  </m:rPr>
                  <w:rPr>
                    <w:rFonts w:ascii="Cambria Math" w:hAnsi="Cambria Math" w:cs="Calibri"/>
                    <w:sz w:val="20"/>
                    <w:szCs w:val="20"/>
                  </w:rPr>
                  <m:t>d</m:t>
                </m:r>
              </m:e>
              <m:sub>
                <m:r>
                  <m:rPr>
                    <m:sty m:val="p"/>
                  </m:rPr>
                  <w:rPr>
                    <w:rFonts w:ascii="Cambria Math" w:hAnsi="Cambria Math" w:cs="Calibri"/>
                    <w:sz w:val="20"/>
                    <w:szCs w:val="20"/>
                  </w:rPr>
                  <m:t>t</m:t>
                </m:r>
              </m:sub>
            </m:sSub>
          </m:e>
        </m:nary>
      </m:oMath>
    </w:p>
    <w:p w14:paraId="247CE452" w14:textId="77777777" w:rsidR="00D765F0" w:rsidRPr="00DC63E3" w:rsidRDefault="00D765F0" w:rsidP="00DC63E3">
      <w:pPr>
        <w:spacing w:after="0"/>
        <w:rPr>
          <w:rFonts w:cs="Calibri"/>
          <w:sz w:val="20"/>
          <w:szCs w:val="20"/>
        </w:rPr>
      </w:pPr>
      <w:r w:rsidRPr="00DC63E3">
        <w:rPr>
          <w:rFonts w:cs="Calibri"/>
          <w:sz w:val="20"/>
          <w:szCs w:val="20"/>
        </w:rPr>
        <w:t xml:space="preserve">Rozdíl mezi posledními dvěma dostupnými hodnotami datové řady byl určen jako </w:t>
      </w:r>
      <m:oMath>
        <m:sSub>
          <m:sSubPr>
            <m:ctrlPr>
              <w:rPr>
                <w:rFonts w:ascii="Cambria Math" w:hAnsi="Cambria Math" w:cs="Calibri"/>
                <w:sz w:val="20"/>
                <w:szCs w:val="20"/>
              </w:rPr>
            </m:ctrlPr>
          </m:sSubPr>
          <m:e>
            <m:r>
              <m:rPr>
                <m:sty m:val="p"/>
              </m:rPr>
              <w:rPr>
                <w:rFonts w:ascii="Cambria Math" w:hAnsi="Cambria Math" w:cs="Calibri"/>
                <w:sz w:val="20"/>
                <w:szCs w:val="20"/>
              </w:rPr>
              <m:t>d</m:t>
            </m:r>
          </m:e>
          <m:sub>
            <m:r>
              <m:rPr>
                <m:sty m:val="p"/>
              </m:rPr>
              <w:rPr>
                <w:rFonts w:ascii="Cambria Math" w:hAnsi="Cambria Math" w:cs="Calibri"/>
                <w:sz w:val="20"/>
                <w:szCs w:val="20"/>
              </w:rPr>
              <m:t>T</m:t>
            </m:r>
          </m:sub>
        </m:sSub>
        <m:r>
          <m:rPr>
            <m:sty m:val="p"/>
          </m:rPr>
          <w:rPr>
            <w:rFonts w:ascii="Cambria Math" w:hAnsi="Cambria Math" w:cs="Calibri"/>
            <w:sz w:val="20"/>
            <w:szCs w:val="20"/>
          </w:rPr>
          <m:t>=</m:t>
        </m:r>
        <m:sSub>
          <m:sSubPr>
            <m:ctrlPr>
              <w:rPr>
                <w:rFonts w:ascii="Cambria Math" w:hAnsi="Cambria Math" w:cs="Calibri"/>
                <w:sz w:val="20"/>
                <w:szCs w:val="20"/>
              </w:rPr>
            </m:ctrlPr>
          </m:sSubPr>
          <m:e>
            <m:r>
              <m:rPr>
                <m:sty m:val="p"/>
              </m:rPr>
              <w:rPr>
                <w:rFonts w:ascii="Cambria Math" w:hAnsi="Cambria Math" w:cs="Calibri"/>
                <w:sz w:val="20"/>
                <w:szCs w:val="20"/>
              </w:rPr>
              <m:t>x</m:t>
            </m:r>
          </m:e>
          <m:sub>
            <m:r>
              <m:rPr>
                <m:sty m:val="p"/>
              </m:rPr>
              <w:rPr>
                <w:rFonts w:ascii="Cambria Math" w:hAnsi="Cambria Math" w:cs="Calibri"/>
                <w:sz w:val="20"/>
                <w:szCs w:val="20"/>
              </w:rPr>
              <m:t>T</m:t>
            </m:r>
          </m:sub>
        </m:sSub>
        <m:r>
          <m:rPr>
            <m:sty m:val="p"/>
          </m:rPr>
          <w:rPr>
            <w:rFonts w:ascii="Cambria Math" w:hAnsi="Cambria Math" w:cs="Calibri"/>
            <w:sz w:val="20"/>
            <w:szCs w:val="20"/>
          </w:rPr>
          <m:t>-</m:t>
        </m:r>
        <m:sSub>
          <m:sSubPr>
            <m:ctrlPr>
              <w:rPr>
                <w:rFonts w:ascii="Cambria Math" w:hAnsi="Cambria Math" w:cs="Calibri"/>
                <w:sz w:val="20"/>
                <w:szCs w:val="20"/>
              </w:rPr>
            </m:ctrlPr>
          </m:sSubPr>
          <m:e>
            <m:r>
              <m:rPr>
                <m:sty m:val="p"/>
              </m:rPr>
              <w:rPr>
                <w:rFonts w:ascii="Cambria Math" w:hAnsi="Cambria Math" w:cs="Calibri"/>
                <w:sz w:val="20"/>
                <w:szCs w:val="20"/>
              </w:rPr>
              <m:t>x</m:t>
            </m:r>
          </m:e>
          <m:sub>
            <m:r>
              <m:rPr>
                <m:sty m:val="p"/>
              </m:rPr>
              <w:rPr>
                <w:rFonts w:ascii="Cambria Math" w:hAnsi="Cambria Math" w:cs="Calibri"/>
                <w:sz w:val="20"/>
                <w:szCs w:val="20"/>
              </w:rPr>
              <m:t>T-1</m:t>
            </m:r>
          </m:sub>
        </m:sSub>
      </m:oMath>
    </w:p>
    <w:p w14:paraId="664FF2E8" w14:textId="0EC7F094" w:rsidR="00D765F0" w:rsidRPr="00DC63E3" w:rsidRDefault="00D765F0" w:rsidP="00DC63E3">
      <w:pPr>
        <w:spacing w:after="0"/>
        <w:rPr>
          <w:rFonts w:cs="Calibri"/>
          <w:sz w:val="20"/>
          <w:szCs w:val="20"/>
        </w:rPr>
      </w:pPr>
      <w:r w:rsidRPr="00DC63E3">
        <w:rPr>
          <w:rFonts w:cs="Calibri"/>
          <w:sz w:val="20"/>
          <w:szCs w:val="20"/>
        </w:rPr>
        <w:t xml:space="preserve">Jako indikace </w:t>
      </w:r>
      <w:r w:rsidR="0095650B">
        <w:rPr>
          <w:rFonts w:cs="Calibri"/>
          <w:sz w:val="20"/>
          <w:szCs w:val="20"/>
        </w:rPr>
        <w:t>obratu</w:t>
      </w:r>
      <w:r w:rsidRPr="00DC63E3">
        <w:rPr>
          <w:rFonts w:cs="Calibri"/>
          <w:sz w:val="20"/>
          <w:szCs w:val="20"/>
        </w:rPr>
        <w:t xml:space="preserve"> trendu byla stanovena podmínka, kdy průměr rozdílů v po sobě jdoucích hodnotách má opačné znaménko, nežli rozdíl posledních dvou hodnot </w:t>
      </w:r>
      <m:oMath>
        <m:sSub>
          <m:sSubPr>
            <m:ctrlPr>
              <w:rPr>
                <w:rFonts w:ascii="Cambria Math" w:hAnsi="Cambria Math" w:cs="Calibri"/>
                <w:sz w:val="20"/>
                <w:szCs w:val="20"/>
              </w:rPr>
            </m:ctrlPr>
          </m:sSubPr>
          <m:e>
            <m:r>
              <m:rPr>
                <m:sty m:val="p"/>
              </m:rPr>
              <w:rPr>
                <w:rFonts w:ascii="Cambria Math" w:hAnsi="Cambria Math" w:cs="Calibri"/>
                <w:sz w:val="20"/>
                <w:szCs w:val="20"/>
              </w:rPr>
              <m:t>d</m:t>
            </m:r>
          </m:e>
          <m:sub>
            <m:r>
              <m:rPr>
                <m:sty m:val="p"/>
              </m:rPr>
              <w:rPr>
                <w:rFonts w:ascii="Cambria Math" w:hAnsi="Cambria Math" w:cs="Calibri"/>
                <w:sz w:val="20"/>
                <w:szCs w:val="20"/>
              </w:rPr>
              <m:t>T</m:t>
            </m:r>
          </m:sub>
        </m:sSub>
        <m:r>
          <m:rPr>
            <m:sty m:val="p"/>
          </m:rPr>
          <w:rPr>
            <w:rFonts w:ascii="Cambria Math" w:hAnsi="Cambria Math" w:cs="Calibri"/>
            <w:sz w:val="20"/>
            <w:szCs w:val="20"/>
          </w:rPr>
          <m:t>⋅</m:t>
        </m:r>
        <m:acc>
          <m:accPr>
            <m:chr m:val="̅"/>
            <m:ctrlPr>
              <w:rPr>
                <w:rFonts w:ascii="Cambria Math" w:hAnsi="Cambria Math" w:cs="Calibri"/>
                <w:sz w:val="20"/>
                <w:szCs w:val="20"/>
              </w:rPr>
            </m:ctrlPr>
          </m:accPr>
          <m:e>
            <m:r>
              <m:rPr>
                <m:sty m:val="p"/>
              </m:rPr>
              <w:rPr>
                <w:rFonts w:ascii="Cambria Math" w:hAnsi="Cambria Math" w:cs="Calibri"/>
                <w:sz w:val="20"/>
                <w:szCs w:val="20"/>
              </w:rPr>
              <m:t>d</m:t>
            </m:r>
          </m:e>
        </m:acc>
        <m:r>
          <m:rPr>
            <m:sty m:val="p"/>
          </m:rPr>
          <w:rPr>
            <w:rFonts w:ascii="Cambria Math" w:hAnsi="Cambria Math" w:cs="Calibri"/>
            <w:sz w:val="20"/>
            <w:szCs w:val="20"/>
          </w:rPr>
          <m:t>&lt;0</m:t>
        </m:r>
      </m:oMath>
    </w:p>
    <w:p w14:paraId="3F54CA9F" w14:textId="2426954F" w:rsidR="00D765F0" w:rsidRDefault="00D765F0">
      <w:pPr>
        <w:pStyle w:val="Textpoznpodarou"/>
      </w:pPr>
    </w:p>
  </w:footnote>
  <w:footnote w:id="3">
    <w:p w14:paraId="6633BBD4" w14:textId="2F54ED26" w:rsidR="00935411" w:rsidRDefault="00935411">
      <w:pPr>
        <w:pStyle w:val="Textpoznpodarou"/>
      </w:pPr>
      <w:r>
        <w:rPr>
          <w:rStyle w:val="Znakapoznpodarou"/>
        </w:rPr>
        <w:footnoteRef/>
      </w:r>
      <w:r>
        <w:t xml:space="preserve"> Časová řada obsahuje vždy poslední údaj dostupný v době aktualizace Monitorovacího rámce k 31.8 2025.</w:t>
      </w:r>
    </w:p>
  </w:footnote>
  <w:footnote w:id="4">
    <w:p w14:paraId="2F04CB1C" w14:textId="3BFF230C" w:rsidR="002B1C53" w:rsidRDefault="002B1C53">
      <w:pPr>
        <w:pStyle w:val="Textpoznpodarou"/>
      </w:pPr>
      <w:r>
        <w:rPr>
          <w:rStyle w:val="Znakapoznpodarou"/>
        </w:rPr>
        <w:footnoteRef/>
      </w:r>
      <w:r>
        <w:t xml:space="preserve"> Barevné ikony označují </w:t>
      </w:r>
      <w:r w:rsidR="00BA21E8">
        <w:t xml:space="preserve">příznivé hodnoty v rámci každé časové řady </w:t>
      </w:r>
      <w:r>
        <w:t xml:space="preserve">zeleně, střední </w:t>
      </w:r>
      <w:r w:rsidR="00BA21E8">
        <w:t xml:space="preserve">hodnoty </w:t>
      </w:r>
      <w:r>
        <w:t xml:space="preserve">oranžové a </w:t>
      </w:r>
      <w:r w:rsidR="00BA21E8">
        <w:t>nejméně příznivé hodnoty</w:t>
      </w:r>
      <w:r>
        <w:t xml:space="preserve"> červeně</w:t>
      </w:r>
      <w:r w:rsidR="00BA21E8">
        <w:t>. U kontextových indikátorů označují zelené ikony nejvyšší hodnoty, červené ikony hodnoty nejnižší v rámci každé časové řady.</w:t>
      </w:r>
    </w:p>
  </w:footnote>
  <w:footnote w:id="5">
    <w:p w14:paraId="77CA384C" w14:textId="2FF924C7" w:rsidR="00BF583F" w:rsidRPr="00BF583F" w:rsidRDefault="00BF583F" w:rsidP="00BF583F">
      <w:pPr>
        <w:pStyle w:val="Textpoznpodarou"/>
      </w:pPr>
      <w:r>
        <w:rPr>
          <w:rStyle w:val="Znakapoznpodarou"/>
        </w:rPr>
        <w:footnoteRef/>
      </w:r>
      <w:r>
        <w:t xml:space="preserve"> </w:t>
      </w:r>
      <w:r w:rsidRPr="00BF583F">
        <w:t xml:space="preserve">NFN = normovaná finanční náročnost. Jde o typ podpůrného opatření, které je financováno ze státního rozpočtu. Pokud má žák přiznané podpůrné opatření s kódem NFN, škola na jeho realizaci </w:t>
      </w:r>
      <w:r w:rsidRPr="000960EF">
        <w:t>obdrží finanční prostředky</w:t>
      </w:r>
      <w:r w:rsidRPr="00BF583F">
        <w:t xml:space="preserve">. Typickým příkladem je např. </w:t>
      </w:r>
      <w:r w:rsidRPr="000960EF">
        <w:t>asistent pedagoga</w:t>
      </w:r>
      <w:r w:rsidRPr="00BF583F">
        <w:t>, jehož přítomnost u žáka je doporučena školským poradenským zařízením (ŠPZ) a financována právě na základě NFN.</w:t>
      </w:r>
    </w:p>
  </w:footnote>
  <w:footnote w:id="6">
    <w:p w14:paraId="30A6EA80" w14:textId="100AEF08" w:rsidR="000E1170" w:rsidRDefault="000E1170" w:rsidP="000E1170">
      <w:pPr>
        <w:pStyle w:val="Textpoznpodarou"/>
      </w:pPr>
      <w:r>
        <w:rPr>
          <w:rStyle w:val="Znakapoznpodarou"/>
        </w:rPr>
        <w:footnoteRef/>
      </w:r>
      <w:r>
        <w:t xml:space="preserve"> Byly vypočítány meziroční rozdíly v datových řadách a </w:t>
      </w:r>
      <w:r w:rsidR="00694FCF">
        <w:t xml:space="preserve">jejich </w:t>
      </w:r>
      <w:r>
        <w:t>procentuální změny. Byl vypočítán medián a medián absolutní odchylky pro absolutní i procentuální změny. Byly určeny maximální absolutní a procentuální z-skór</w:t>
      </w:r>
      <w:r w:rsidR="00694FCF">
        <w:t>y</w:t>
      </w:r>
      <w:r>
        <w:t xml:space="preserve"> pro roky covidového období 2020-2022.</w:t>
      </w:r>
      <w:r w:rsidR="00694FCF">
        <w:t xml:space="preserve"> Roky</w:t>
      </w:r>
      <w:r>
        <w:t xml:space="preserve"> s významnými anomáliemi </w:t>
      </w:r>
      <w:r w:rsidR="00694FCF">
        <w:t xml:space="preserve">byly označeny </w:t>
      </w:r>
      <w:r>
        <w:t xml:space="preserve">na základě </w:t>
      </w:r>
      <w:r w:rsidR="00694FCF">
        <w:t>mezních</w:t>
      </w:r>
      <w:r>
        <w:t xml:space="preserve"> hodnot z-skór</w:t>
      </w:r>
      <w:r w:rsidR="00694FCF">
        <w:t>u</w:t>
      </w:r>
      <w:r>
        <w:t>.</w:t>
      </w:r>
      <w:r w:rsidR="00D33F51">
        <w:t xml:space="preserve"> Identifikace byla provedena s</w:t>
      </w:r>
      <w:r w:rsidR="007B4C13">
        <w:t xml:space="preserve"> částečnou </w:t>
      </w:r>
      <w:r w:rsidR="00D33F51">
        <w:t>pomocí Julius AI.</w:t>
      </w:r>
    </w:p>
  </w:footnote>
  <w:footnote w:id="7">
    <w:p w14:paraId="08D8E79E" w14:textId="08E6FDE9" w:rsidR="00D377FA" w:rsidRDefault="00D377FA" w:rsidP="008C2443">
      <w:pPr>
        <w:pStyle w:val="Odstavecseseznamem"/>
        <w:ind w:left="0"/>
        <w:contextualSpacing w:val="0"/>
        <w:jc w:val="both"/>
      </w:pPr>
      <w:r>
        <w:rPr>
          <w:rStyle w:val="Znakapoznpodarou"/>
        </w:rPr>
        <w:footnoteRef/>
      </w:r>
      <w:r>
        <w:t xml:space="preserve"> </w:t>
      </w:r>
      <w:bookmarkStart w:id="18" w:name="_Hlk211029364"/>
      <w:r w:rsidRPr="00D377FA">
        <w:rPr>
          <w:sz w:val="18"/>
          <w:szCs w:val="18"/>
        </w:rPr>
        <w:t xml:space="preserve">Pro tento účel byly kraje seřazeny podle poslední dosažené hodnoty v každé časové řadě od nejvyšší po nejnižší dosaženou hodnotu. Toto řazení bylo provedeno pro 125 ukazatelů, které nabízejí krajské členění a srovnání pořadí zde dává smysl. Podle výsledků tohoto řazení bylo možné určit, které kraje se nejčastěji odlišují od ostatních tím, že dosahují krajních hodnot v měřených ukazatelích. </w:t>
      </w:r>
      <w:r w:rsidR="00D51521" w:rsidRPr="00D51521">
        <w:rPr>
          <w:sz w:val="18"/>
          <w:szCs w:val="18"/>
        </w:rPr>
        <w:t xml:space="preserve">Za dosažení krajní hodnoty bylo pro účely porovnání považováno umístění kraje na prvních dvou nejvyšších nebo naopak posledních dvou nejnižších pořadí v rámci hodnocení krajů (tj. pořadí 1,2,13,14). </w:t>
      </w:r>
      <w:r w:rsidRPr="00D377FA">
        <w:rPr>
          <w:sz w:val="18"/>
          <w:szCs w:val="18"/>
        </w:rPr>
        <w:t>Dále bylo možné pro každý kraj určit jeho specifické charakteristiky. Výpovědní hodnota tohoto srovnání je určena tím, jaké hodnocené oblasti jsou v ukazatelích zastoupeny (např. početné zastoupení indikátorů z oblasti výsledků vzdělávání předurčuje výraznější odlišení krajů s velmi dobrými nebo naopak velmi slabými výsledky vzdělávání).</w:t>
      </w:r>
      <w:bookmarkEnd w:id="18"/>
    </w:p>
  </w:footnote>
  <w:footnote w:id="8">
    <w:p w14:paraId="0986F9DE" w14:textId="055E2F9F" w:rsidR="008C2443" w:rsidRDefault="008C2443">
      <w:pPr>
        <w:pStyle w:val="Textpoznpodarou"/>
      </w:pPr>
      <w:r>
        <w:rPr>
          <w:rStyle w:val="Znakapoznpodarou"/>
        </w:rPr>
        <w:footnoteRef/>
      </w:r>
      <w:r>
        <w:t xml:space="preserve"> </w:t>
      </w:r>
      <w:r w:rsidRPr="008C2443">
        <w:rPr>
          <w:sz w:val="18"/>
          <w:szCs w:val="18"/>
        </w:rPr>
        <w:t>Hodnocení „nízký“ nebo „vysoký“ se vždy vztahuje k porovnání s ostatními kraji ČR.</w:t>
      </w:r>
    </w:p>
  </w:footnote>
  <w:footnote w:id="9">
    <w:p w14:paraId="69067A8B" w14:textId="77777777" w:rsidR="0024586E" w:rsidRDefault="0024586E" w:rsidP="0024586E">
      <w:pPr>
        <w:pStyle w:val="Textpoznpodarou"/>
      </w:pPr>
      <w:r>
        <w:rPr>
          <w:rStyle w:val="Znakapoznpodarou"/>
        </w:rPr>
        <w:footnoteRef/>
      </w:r>
      <w:r>
        <w:t xml:space="preserve"> Hodnocení „nízký“ nebo „vysoký“ se vždy vztahuje k porovnání s ostatními kraji ČR.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15934"/>
      <w:docPartObj>
        <w:docPartGallery w:val="Page Numbers (Top of Page)"/>
        <w:docPartUnique/>
      </w:docPartObj>
    </w:sdtPr>
    <w:sdtContent>
      <w:p w14:paraId="32DBD907" w14:textId="77777777" w:rsidR="00EE428C" w:rsidRDefault="00EE428C">
        <w:pPr>
          <w:pStyle w:val="Zhlav"/>
          <w:jc w:val="right"/>
        </w:pPr>
        <w:r>
          <w:rPr>
            <w:noProof/>
            <w:lang w:eastAsia="cs-CZ"/>
          </w:rPr>
          <w:drawing>
            <wp:anchor distT="0" distB="0" distL="114300" distR="114300" simplePos="0" relativeHeight="251658241" behindDoc="1" locked="0" layoutInCell="1" allowOverlap="1" wp14:anchorId="50049A70" wp14:editId="5BA592E0">
              <wp:simplePos x="0" y="0"/>
              <wp:positionH relativeFrom="column">
                <wp:posOffset>6299200</wp:posOffset>
              </wp:positionH>
              <wp:positionV relativeFrom="paragraph">
                <wp:posOffset>-55880</wp:posOffset>
              </wp:positionV>
              <wp:extent cx="500400" cy="345600"/>
              <wp:effectExtent l="0" t="0" r="0" b="0"/>
              <wp:wrapNone/>
              <wp:docPr id="1225865297" name="Obrázek 122586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070ACD">
          <w:rPr>
            <w:noProof/>
          </w:rPr>
          <w:t>6</w:t>
        </w:r>
        <w:r>
          <w:fldChar w:fldCharType="end"/>
        </w:r>
      </w:p>
    </w:sdtContent>
  </w:sdt>
  <w:p w14:paraId="3721A5F4" w14:textId="6ED4DB18" w:rsidR="00EE428C" w:rsidRDefault="009438CB" w:rsidP="00DD203A">
    <w:pPr>
      <w:pStyle w:val="Zhlav"/>
      <w:spacing w:after="200"/>
    </w:pPr>
    <w:bookmarkStart w:id="4" w:name="_Hlk180176059"/>
    <w:bookmarkStart w:id="5" w:name="_Hlk180176060"/>
    <w:bookmarkStart w:id="6" w:name="_Hlk180176061"/>
    <w:bookmarkStart w:id="7" w:name="_Hlk180176062"/>
    <w:bookmarkStart w:id="8" w:name="_Hlk211029225"/>
    <w:bookmarkStart w:id="9" w:name="_Hlk211029226"/>
    <w:r w:rsidRPr="001C3AEE">
      <w:t xml:space="preserve">Č.j.: </w:t>
    </w:r>
    <w:bookmarkEnd w:id="4"/>
    <w:bookmarkEnd w:id="5"/>
    <w:bookmarkEnd w:id="6"/>
    <w:bookmarkEnd w:id="7"/>
    <w:bookmarkEnd w:id="8"/>
    <w:bookmarkEnd w:id="9"/>
    <w:r w:rsidR="0003172F" w:rsidRPr="0003172F">
      <w:t>MSMT-25874/2025-1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D9B5" w14:textId="58BB4295" w:rsidR="003C33AA" w:rsidRDefault="009B172B" w:rsidP="003C33AA">
    <w:pPr>
      <w:pStyle w:val="Zhlav"/>
      <w:jc w:val="right"/>
    </w:pPr>
    <w:r w:rsidRPr="001C3AEE">
      <w:t xml:space="preserve">Č.j.: </w:t>
    </w:r>
    <w:r w:rsidR="0003172F" w:rsidRPr="0003172F">
      <w:t>MSMT-25874/2025-1</w:t>
    </w:r>
  </w:p>
  <w:p w14:paraId="1AD21C2D" w14:textId="7815F8DF" w:rsidR="00EE428C" w:rsidRPr="00D717E8" w:rsidRDefault="00EE428C" w:rsidP="00D717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51A"/>
    <w:multiLevelType w:val="multilevel"/>
    <w:tmpl w:val="7A1889C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E70FD"/>
    <w:multiLevelType w:val="multilevel"/>
    <w:tmpl w:val="D63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7623F"/>
    <w:multiLevelType w:val="multilevel"/>
    <w:tmpl w:val="B9AC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61104"/>
    <w:multiLevelType w:val="hybridMultilevel"/>
    <w:tmpl w:val="F438CC02"/>
    <w:lvl w:ilvl="0" w:tplc="77BA9F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732B12"/>
    <w:multiLevelType w:val="hybridMultilevel"/>
    <w:tmpl w:val="5DC4AF0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B14B6F"/>
    <w:multiLevelType w:val="hybridMultilevel"/>
    <w:tmpl w:val="A6C081AC"/>
    <w:lvl w:ilvl="0" w:tplc="31E22F12">
      <w:start w:val="1"/>
      <w:numFmt w:val="decimal"/>
      <w:pStyle w:val="Odstavec"/>
      <w:lvlText w:val="(%1)"/>
      <w:lvlJc w:val="left"/>
      <w:pPr>
        <w:ind w:left="1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2E37EB"/>
    <w:multiLevelType w:val="hybridMultilevel"/>
    <w:tmpl w:val="C73499D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0A7F04"/>
    <w:multiLevelType w:val="multilevel"/>
    <w:tmpl w:val="0A3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255A1"/>
    <w:multiLevelType w:val="hybridMultilevel"/>
    <w:tmpl w:val="614630E2"/>
    <w:lvl w:ilvl="0" w:tplc="4CA01D90">
      <w:start w:val="3"/>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9045D2"/>
    <w:multiLevelType w:val="hybridMultilevel"/>
    <w:tmpl w:val="2C4240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941E83"/>
    <w:multiLevelType w:val="multilevel"/>
    <w:tmpl w:val="7244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398967">
    <w:abstractNumId w:val="5"/>
  </w:num>
  <w:num w:numId="2" w16cid:durableId="1653173456">
    <w:abstractNumId w:val="3"/>
  </w:num>
  <w:num w:numId="3" w16cid:durableId="1094589305">
    <w:abstractNumId w:val="8"/>
  </w:num>
  <w:num w:numId="4" w16cid:durableId="881209148">
    <w:abstractNumId w:val="2"/>
  </w:num>
  <w:num w:numId="5" w16cid:durableId="242568147">
    <w:abstractNumId w:val="9"/>
  </w:num>
  <w:num w:numId="6" w16cid:durableId="86466919">
    <w:abstractNumId w:val="10"/>
  </w:num>
  <w:num w:numId="7" w16cid:durableId="1658145487">
    <w:abstractNumId w:val="7"/>
  </w:num>
  <w:num w:numId="8" w16cid:durableId="1571378471">
    <w:abstractNumId w:val="1"/>
  </w:num>
  <w:num w:numId="9" w16cid:durableId="1028749852">
    <w:abstractNumId w:val="0"/>
  </w:num>
  <w:num w:numId="10" w16cid:durableId="2128161602">
    <w:abstractNumId w:val="4"/>
  </w:num>
  <w:num w:numId="11" w16cid:durableId="180060837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4A"/>
    <w:rsid w:val="00001DAA"/>
    <w:rsid w:val="00002068"/>
    <w:rsid w:val="00003305"/>
    <w:rsid w:val="00003715"/>
    <w:rsid w:val="00003FDA"/>
    <w:rsid w:val="00004A83"/>
    <w:rsid w:val="00004A8E"/>
    <w:rsid w:val="00005AFF"/>
    <w:rsid w:val="00005C81"/>
    <w:rsid w:val="00006703"/>
    <w:rsid w:val="000070DB"/>
    <w:rsid w:val="00007558"/>
    <w:rsid w:val="000076EF"/>
    <w:rsid w:val="00007B9F"/>
    <w:rsid w:val="00007DA2"/>
    <w:rsid w:val="00007DE5"/>
    <w:rsid w:val="00011358"/>
    <w:rsid w:val="000131B8"/>
    <w:rsid w:val="0001580F"/>
    <w:rsid w:val="00016821"/>
    <w:rsid w:val="00020423"/>
    <w:rsid w:val="00023479"/>
    <w:rsid w:val="000245E1"/>
    <w:rsid w:val="00024863"/>
    <w:rsid w:val="00024E9D"/>
    <w:rsid w:val="00025D10"/>
    <w:rsid w:val="000266C1"/>
    <w:rsid w:val="0002732F"/>
    <w:rsid w:val="00027EA1"/>
    <w:rsid w:val="00030216"/>
    <w:rsid w:val="00030792"/>
    <w:rsid w:val="000307A1"/>
    <w:rsid w:val="00030E1D"/>
    <w:rsid w:val="00031586"/>
    <w:rsid w:val="0003172F"/>
    <w:rsid w:val="00032A92"/>
    <w:rsid w:val="00033246"/>
    <w:rsid w:val="00033308"/>
    <w:rsid w:val="00033989"/>
    <w:rsid w:val="0003409B"/>
    <w:rsid w:val="00034741"/>
    <w:rsid w:val="000363AB"/>
    <w:rsid w:val="000371EF"/>
    <w:rsid w:val="00042254"/>
    <w:rsid w:val="00044EF9"/>
    <w:rsid w:val="00045066"/>
    <w:rsid w:val="00045DA1"/>
    <w:rsid w:val="00046983"/>
    <w:rsid w:val="00046E5B"/>
    <w:rsid w:val="000473B4"/>
    <w:rsid w:val="0004788B"/>
    <w:rsid w:val="00050A8C"/>
    <w:rsid w:val="000519EE"/>
    <w:rsid w:val="00052B69"/>
    <w:rsid w:val="00052F02"/>
    <w:rsid w:val="0005444B"/>
    <w:rsid w:val="0005720A"/>
    <w:rsid w:val="00057565"/>
    <w:rsid w:val="000577FA"/>
    <w:rsid w:val="000603BF"/>
    <w:rsid w:val="000624FB"/>
    <w:rsid w:val="000626D9"/>
    <w:rsid w:val="00062B80"/>
    <w:rsid w:val="00062E68"/>
    <w:rsid w:val="00064F5E"/>
    <w:rsid w:val="00065019"/>
    <w:rsid w:val="00066507"/>
    <w:rsid w:val="00067449"/>
    <w:rsid w:val="00070097"/>
    <w:rsid w:val="00070ACD"/>
    <w:rsid w:val="00071006"/>
    <w:rsid w:val="0007180A"/>
    <w:rsid w:val="00072007"/>
    <w:rsid w:val="000748BB"/>
    <w:rsid w:val="00075B0C"/>
    <w:rsid w:val="00076957"/>
    <w:rsid w:val="00077C0F"/>
    <w:rsid w:val="000807FB"/>
    <w:rsid w:val="00081A60"/>
    <w:rsid w:val="00081AE1"/>
    <w:rsid w:val="00082823"/>
    <w:rsid w:val="00082BC0"/>
    <w:rsid w:val="00084813"/>
    <w:rsid w:val="000866FC"/>
    <w:rsid w:val="00087549"/>
    <w:rsid w:val="00087FA3"/>
    <w:rsid w:val="000907B1"/>
    <w:rsid w:val="00090BA3"/>
    <w:rsid w:val="00091350"/>
    <w:rsid w:val="0009220D"/>
    <w:rsid w:val="000929D5"/>
    <w:rsid w:val="00093CA6"/>
    <w:rsid w:val="00094821"/>
    <w:rsid w:val="000960EF"/>
    <w:rsid w:val="00096A2A"/>
    <w:rsid w:val="00097124"/>
    <w:rsid w:val="000975A7"/>
    <w:rsid w:val="000A1BB4"/>
    <w:rsid w:val="000A1F61"/>
    <w:rsid w:val="000A3D97"/>
    <w:rsid w:val="000A53AE"/>
    <w:rsid w:val="000A544B"/>
    <w:rsid w:val="000A6A33"/>
    <w:rsid w:val="000B1899"/>
    <w:rsid w:val="000B190E"/>
    <w:rsid w:val="000B283C"/>
    <w:rsid w:val="000B3647"/>
    <w:rsid w:val="000B55AC"/>
    <w:rsid w:val="000B5BE4"/>
    <w:rsid w:val="000B660C"/>
    <w:rsid w:val="000B6737"/>
    <w:rsid w:val="000B6AA8"/>
    <w:rsid w:val="000C3A33"/>
    <w:rsid w:val="000C6C4F"/>
    <w:rsid w:val="000D0725"/>
    <w:rsid w:val="000D08F3"/>
    <w:rsid w:val="000D0D4A"/>
    <w:rsid w:val="000D168B"/>
    <w:rsid w:val="000D1B88"/>
    <w:rsid w:val="000D1DB5"/>
    <w:rsid w:val="000D2A4A"/>
    <w:rsid w:val="000D2C07"/>
    <w:rsid w:val="000D4D5E"/>
    <w:rsid w:val="000D4F09"/>
    <w:rsid w:val="000D551A"/>
    <w:rsid w:val="000D5741"/>
    <w:rsid w:val="000D5BCA"/>
    <w:rsid w:val="000D6200"/>
    <w:rsid w:val="000D73BD"/>
    <w:rsid w:val="000D7D6B"/>
    <w:rsid w:val="000D7F3B"/>
    <w:rsid w:val="000E1170"/>
    <w:rsid w:val="000E120B"/>
    <w:rsid w:val="000E2507"/>
    <w:rsid w:val="000E26E9"/>
    <w:rsid w:val="000E4266"/>
    <w:rsid w:val="000E48C2"/>
    <w:rsid w:val="000E4A51"/>
    <w:rsid w:val="000E56AF"/>
    <w:rsid w:val="000E590E"/>
    <w:rsid w:val="000E7EE8"/>
    <w:rsid w:val="000F0818"/>
    <w:rsid w:val="000F1D5D"/>
    <w:rsid w:val="000F1F02"/>
    <w:rsid w:val="000F2E79"/>
    <w:rsid w:val="000F689C"/>
    <w:rsid w:val="000F6D97"/>
    <w:rsid w:val="000F784C"/>
    <w:rsid w:val="00101C01"/>
    <w:rsid w:val="001021D8"/>
    <w:rsid w:val="00103069"/>
    <w:rsid w:val="00103DB7"/>
    <w:rsid w:val="001061C1"/>
    <w:rsid w:val="00106F48"/>
    <w:rsid w:val="0010773B"/>
    <w:rsid w:val="00107D70"/>
    <w:rsid w:val="00107F4C"/>
    <w:rsid w:val="0011041B"/>
    <w:rsid w:val="001104BA"/>
    <w:rsid w:val="001105E4"/>
    <w:rsid w:val="00110ABE"/>
    <w:rsid w:val="00110DA1"/>
    <w:rsid w:val="001112C1"/>
    <w:rsid w:val="001112E1"/>
    <w:rsid w:val="001122B4"/>
    <w:rsid w:val="00113FBD"/>
    <w:rsid w:val="00113FD8"/>
    <w:rsid w:val="001168E1"/>
    <w:rsid w:val="00116D6C"/>
    <w:rsid w:val="001215DF"/>
    <w:rsid w:val="0012293F"/>
    <w:rsid w:val="0012294B"/>
    <w:rsid w:val="00127227"/>
    <w:rsid w:val="00127FDD"/>
    <w:rsid w:val="00131C05"/>
    <w:rsid w:val="00131DBD"/>
    <w:rsid w:val="001329D2"/>
    <w:rsid w:val="001337D1"/>
    <w:rsid w:val="00133913"/>
    <w:rsid w:val="00135143"/>
    <w:rsid w:val="001353AF"/>
    <w:rsid w:val="001412C3"/>
    <w:rsid w:val="00141913"/>
    <w:rsid w:val="0014324C"/>
    <w:rsid w:val="00144703"/>
    <w:rsid w:val="00144FDC"/>
    <w:rsid w:val="00145082"/>
    <w:rsid w:val="00145F33"/>
    <w:rsid w:val="00147F94"/>
    <w:rsid w:val="0015272A"/>
    <w:rsid w:val="00152949"/>
    <w:rsid w:val="001570ED"/>
    <w:rsid w:val="00157A75"/>
    <w:rsid w:val="00162D93"/>
    <w:rsid w:val="00163079"/>
    <w:rsid w:val="00163217"/>
    <w:rsid w:val="00163AC7"/>
    <w:rsid w:val="00164D53"/>
    <w:rsid w:val="001651F0"/>
    <w:rsid w:val="00165407"/>
    <w:rsid w:val="00166147"/>
    <w:rsid w:val="00166E26"/>
    <w:rsid w:val="00166F4B"/>
    <w:rsid w:val="00170047"/>
    <w:rsid w:val="00175868"/>
    <w:rsid w:val="001771CB"/>
    <w:rsid w:val="00177489"/>
    <w:rsid w:val="00180210"/>
    <w:rsid w:val="0018038A"/>
    <w:rsid w:val="001815D8"/>
    <w:rsid w:val="00182EC6"/>
    <w:rsid w:val="00184062"/>
    <w:rsid w:val="001847EB"/>
    <w:rsid w:val="001851C7"/>
    <w:rsid w:val="001866E2"/>
    <w:rsid w:val="001872C2"/>
    <w:rsid w:val="0019019C"/>
    <w:rsid w:val="00190B3A"/>
    <w:rsid w:val="001921DB"/>
    <w:rsid w:val="00195BB8"/>
    <w:rsid w:val="00195E1F"/>
    <w:rsid w:val="00197777"/>
    <w:rsid w:val="001A1263"/>
    <w:rsid w:val="001A1FDE"/>
    <w:rsid w:val="001A223F"/>
    <w:rsid w:val="001A25B1"/>
    <w:rsid w:val="001A3DB2"/>
    <w:rsid w:val="001A56E9"/>
    <w:rsid w:val="001A64AE"/>
    <w:rsid w:val="001A7632"/>
    <w:rsid w:val="001A7DB7"/>
    <w:rsid w:val="001B1E71"/>
    <w:rsid w:val="001B2B49"/>
    <w:rsid w:val="001B2CA5"/>
    <w:rsid w:val="001B2E99"/>
    <w:rsid w:val="001B3116"/>
    <w:rsid w:val="001B411C"/>
    <w:rsid w:val="001B5BEE"/>
    <w:rsid w:val="001C1E42"/>
    <w:rsid w:val="001C1E8C"/>
    <w:rsid w:val="001C2124"/>
    <w:rsid w:val="001C28ED"/>
    <w:rsid w:val="001C324D"/>
    <w:rsid w:val="001C3AEE"/>
    <w:rsid w:val="001C42F8"/>
    <w:rsid w:val="001C49F5"/>
    <w:rsid w:val="001C6533"/>
    <w:rsid w:val="001C6ECE"/>
    <w:rsid w:val="001D1212"/>
    <w:rsid w:val="001D12D7"/>
    <w:rsid w:val="001D1444"/>
    <w:rsid w:val="001D198B"/>
    <w:rsid w:val="001D21EF"/>
    <w:rsid w:val="001D3062"/>
    <w:rsid w:val="001D3D99"/>
    <w:rsid w:val="001D4ADF"/>
    <w:rsid w:val="001D5064"/>
    <w:rsid w:val="001D56A8"/>
    <w:rsid w:val="001D607C"/>
    <w:rsid w:val="001D7BDB"/>
    <w:rsid w:val="001E1EAD"/>
    <w:rsid w:val="001E2D7B"/>
    <w:rsid w:val="001E3014"/>
    <w:rsid w:val="001E4599"/>
    <w:rsid w:val="001E6C61"/>
    <w:rsid w:val="001F0046"/>
    <w:rsid w:val="001F1063"/>
    <w:rsid w:val="001F136F"/>
    <w:rsid w:val="001F1C03"/>
    <w:rsid w:val="001F26DC"/>
    <w:rsid w:val="001F2BBA"/>
    <w:rsid w:val="001F4AA4"/>
    <w:rsid w:val="001F7B68"/>
    <w:rsid w:val="00200B6A"/>
    <w:rsid w:val="00202043"/>
    <w:rsid w:val="00202F15"/>
    <w:rsid w:val="0020412E"/>
    <w:rsid w:val="00207D96"/>
    <w:rsid w:val="00207FB7"/>
    <w:rsid w:val="0021143E"/>
    <w:rsid w:val="002131EE"/>
    <w:rsid w:val="00213986"/>
    <w:rsid w:val="0021544D"/>
    <w:rsid w:val="0021715E"/>
    <w:rsid w:val="00217A91"/>
    <w:rsid w:val="00217EEC"/>
    <w:rsid w:val="00224449"/>
    <w:rsid w:val="00225FE6"/>
    <w:rsid w:val="00230CE6"/>
    <w:rsid w:val="00231462"/>
    <w:rsid w:val="00231B8F"/>
    <w:rsid w:val="002322EA"/>
    <w:rsid w:val="00232D96"/>
    <w:rsid w:val="00232F1F"/>
    <w:rsid w:val="002336AB"/>
    <w:rsid w:val="00234129"/>
    <w:rsid w:val="00234C62"/>
    <w:rsid w:val="00235FF2"/>
    <w:rsid w:val="002371AD"/>
    <w:rsid w:val="002402EB"/>
    <w:rsid w:val="00241229"/>
    <w:rsid w:val="002418C1"/>
    <w:rsid w:val="00241ECC"/>
    <w:rsid w:val="00242609"/>
    <w:rsid w:val="00242ADD"/>
    <w:rsid w:val="0024586E"/>
    <w:rsid w:val="00246677"/>
    <w:rsid w:val="00247253"/>
    <w:rsid w:val="00250495"/>
    <w:rsid w:val="00250A16"/>
    <w:rsid w:val="002512B4"/>
    <w:rsid w:val="0025244C"/>
    <w:rsid w:val="00252BAC"/>
    <w:rsid w:val="00254009"/>
    <w:rsid w:val="00255DB0"/>
    <w:rsid w:val="0025616B"/>
    <w:rsid w:val="00257863"/>
    <w:rsid w:val="00265E40"/>
    <w:rsid w:val="00267693"/>
    <w:rsid w:val="00267AE6"/>
    <w:rsid w:val="00267BAC"/>
    <w:rsid w:val="002713CB"/>
    <w:rsid w:val="00272AD5"/>
    <w:rsid w:val="00272CC7"/>
    <w:rsid w:val="00272F04"/>
    <w:rsid w:val="0027315D"/>
    <w:rsid w:val="0027325A"/>
    <w:rsid w:val="0027328A"/>
    <w:rsid w:val="00273C6C"/>
    <w:rsid w:val="0027526E"/>
    <w:rsid w:val="00275FB4"/>
    <w:rsid w:val="0027693A"/>
    <w:rsid w:val="002778FE"/>
    <w:rsid w:val="00282114"/>
    <w:rsid w:val="00284436"/>
    <w:rsid w:val="002849B4"/>
    <w:rsid w:val="00284A0D"/>
    <w:rsid w:val="00284D21"/>
    <w:rsid w:val="00285540"/>
    <w:rsid w:val="00286528"/>
    <w:rsid w:val="002871F8"/>
    <w:rsid w:val="00287512"/>
    <w:rsid w:val="00292EF4"/>
    <w:rsid w:val="002950F8"/>
    <w:rsid w:val="002A111F"/>
    <w:rsid w:val="002A1822"/>
    <w:rsid w:val="002A2D4C"/>
    <w:rsid w:val="002A5FF3"/>
    <w:rsid w:val="002A6352"/>
    <w:rsid w:val="002A6620"/>
    <w:rsid w:val="002A6877"/>
    <w:rsid w:val="002A7FEF"/>
    <w:rsid w:val="002B015A"/>
    <w:rsid w:val="002B05BA"/>
    <w:rsid w:val="002B1C53"/>
    <w:rsid w:val="002B21C5"/>
    <w:rsid w:val="002B2705"/>
    <w:rsid w:val="002B37F1"/>
    <w:rsid w:val="002B50FB"/>
    <w:rsid w:val="002B5A81"/>
    <w:rsid w:val="002B70A0"/>
    <w:rsid w:val="002B7C6C"/>
    <w:rsid w:val="002B7CBF"/>
    <w:rsid w:val="002C065F"/>
    <w:rsid w:val="002C13B0"/>
    <w:rsid w:val="002C18A7"/>
    <w:rsid w:val="002C40FB"/>
    <w:rsid w:val="002C4C62"/>
    <w:rsid w:val="002C5BDB"/>
    <w:rsid w:val="002C5EED"/>
    <w:rsid w:val="002C7D9F"/>
    <w:rsid w:val="002C7DDB"/>
    <w:rsid w:val="002D0E42"/>
    <w:rsid w:val="002D1096"/>
    <w:rsid w:val="002D22DE"/>
    <w:rsid w:val="002D5A62"/>
    <w:rsid w:val="002D6C37"/>
    <w:rsid w:val="002D71A8"/>
    <w:rsid w:val="002D748D"/>
    <w:rsid w:val="002E029B"/>
    <w:rsid w:val="002E0D55"/>
    <w:rsid w:val="002E145F"/>
    <w:rsid w:val="002E160E"/>
    <w:rsid w:val="002E1C43"/>
    <w:rsid w:val="002E48C2"/>
    <w:rsid w:val="002F1023"/>
    <w:rsid w:val="002F359D"/>
    <w:rsid w:val="002F36D6"/>
    <w:rsid w:val="002F6FAF"/>
    <w:rsid w:val="00301648"/>
    <w:rsid w:val="00302243"/>
    <w:rsid w:val="00303B28"/>
    <w:rsid w:val="00304D72"/>
    <w:rsid w:val="00312E41"/>
    <w:rsid w:val="003144DB"/>
    <w:rsid w:val="003151A7"/>
    <w:rsid w:val="00316583"/>
    <w:rsid w:val="00317640"/>
    <w:rsid w:val="00320392"/>
    <w:rsid w:val="003203AB"/>
    <w:rsid w:val="00320F64"/>
    <w:rsid w:val="00322F6F"/>
    <w:rsid w:val="00323547"/>
    <w:rsid w:val="00323A23"/>
    <w:rsid w:val="00323B3B"/>
    <w:rsid w:val="00324998"/>
    <w:rsid w:val="003263C1"/>
    <w:rsid w:val="00330376"/>
    <w:rsid w:val="00330CBC"/>
    <w:rsid w:val="00330E48"/>
    <w:rsid w:val="00331F5B"/>
    <w:rsid w:val="003325BD"/>
    <w:rsid w:val="00332C3C"/>
    <w:rsid w:val="00335481"/>
    <w:rsid w:val="00336AD8"/>
    <w:rsid w:val="0034281B"/>
    <w:rsid w:val="00344E30"/>
    <w:rsid w:val="00345492"/>
    <w:rsid w:val="003461E7"/>
    <w:rsid w:val="003509B1"/>
    <w:rsid w:val="00353596"/>
    <w:rsid w:val="00355342"/>
    <w:rsid w:val="0035792A"/>
    <w:rsid w:val="0036138F"/>
    <w:rsid w:val="00362A6E"/>
    <w:rsid w:val="00363CF1"/>
    <w:rsid w:val="003655F0"/>
    <w:rsid w:val="003664EC"/>
    <w:rsid w:val="0037064F"/>
    <w:rsid w:val="00370C53"/>
    <w:rsid w:val="00371A2F"/>
    <w:rsid w:val="00371A94"/>
    <w:rsid w:val="0037290D"/>
    <w:rsid w:val="00375DA4"/>
    <w:rsid w:val="00376B9C"/>
    <w:rsid w:val="00376BE5"/>
    <w:rsid w:val="00376EF0"/>
    <w:rsid w:val="00377C20"/>
    <w:rsid w:val="00377DB9"/>
    <w:rsid w:val="00380303"/>
    <w:rsid w:val="00381889"/>
    <w:rsid w:val="0038219A"/>
    <w:rsid w:val="003838AA"/>
    <w:rsid w:val="003840DF"/>
    <w:rsid w:val="0038410F"/>
    <w:rsid w:val="0039168A"/>
    <w:rsid w:val="00391B2E"/>
    <w:rsid w:val="00392736"/>
    <w:rsid w:val="00392B02"/>
    <w:rsid w:val="0039333B"/>
    <w:rsid w:val="003938AD"/>
    <w:rsid w:val="003939F0"/>
    <w:rsid w:val="00393DDB"/>
    <w:rsid w:val="00394D69"/>
    <w:rsid w:val="00394ED2"/>
    <w:rsid w:val="00395E2D"/>
    <w:rsid w:val="00396046"/>
    <w:rsid w:val="0039616C"/>
    <w:rsid w:val="003962A6"/>
    <w:rsid w:val="00396DF5"/>
    <w:rsid w:val="003A05DA"/>
    <w:rsid w:val="003A05F2"/>
    <w:rsid w:val="003A134E"/>
    <w:rsid w:val="003A1421"/>
    <w:rsid w:val="003A2A6A"/>
    <w:rsid w:val="003A401D"/>
    <w:rsid w:val="003A6387"/>
    <w:rsid w:val="003A6E22"/>
    <w:rsid w:val="003B1D65"/>
    <w:rsid w:val="003B383C"/>
    <w:rsid w:val="003B3C43"/>
    <w:rsid w:val="003B5652"/>
    <w:rsid w:val="003B5815"/>
    <w:rsid w:val="003C0070"/>
    <w:rsid w:val="003C0D57"/>
    <w:rsid w:val="003C2058"/>
    <w:rsid w:val="003C2F29"/>
    <w:rsid w:val="003C31BB"/>
    <w:rsid w:val="003C33AA"/>
    <w:rsid w:val="003C36B7"/>
    <w:rsid w:val="003C4040"/>
    <w:rsid w:val="003C5542"/>
    <w:rsid w:val="003C6286"/>
    <w:rsid w:val="003C62A3"/>
    <w:rsid w:val="003C7124"/>
    <w:rsid w:val="003C7760"/>
    <w:rsid w:val="003C7A9B"/>
    <w:rsid w:val="003D247B"/>
    <w:rsid w:val="003D4197"/>
    <w:rsid w:val="003D4CB0"/>
    <w:rsid w:val="003D4EE1"/>
    <w:rsid w:val="003D5DC5"/>
    <w:rsid w:val="003D653B"/>
    <w:rsid w:val="003D6A7A"/>
    <w:rsid w:val="003D750D"/>
    <w:rsid w:val="003D7C74"/>
    <w:rsid w:val="003E15A4"/>
    <w:rsid w:val="003E3884"/>
    <w:rsid w:val="003E3AE8"/>
    <w:rsid w:val="003E3E8A"/>
    <w:rsid w:val="003E601C"/>
    <w:rsid w:val="003E6518"/>
    <w:rsid w:val="003E73B2"/>
    <w:rsid w:val="003F02E4"/>
    <w:rsid w:val="003F3D00"/>
    <w:rsid w:val="003F5A6E"/>
    <w:rsid w:val="003F5F47"/>
    <w:rsid w:val="003F71C8"/>
    <w:rsid w:val="003F75DE"/>
    <w:rsid w:val="003F78CF"/>
    <w:rsid w:val="00400373"/>
    <w:rsid w:val="00400FE9"/>
    <w:rsid w:val="00402274"/>
    <w:rsid w:val="004040ED"/>
    <w:rsid w:val="004044F3"/>
    <w:rsid w:val="004054C8"/>
    <w:rsid w:val="00406B45"/>
    <w:rsid w:val="00406EE0"/>
    <w:rsid w:val="004072CE"/>
    <w:rsid w:val="0040758A"/>
    <w:rsid w:val="0041049C"/>
    <w:rsid w:val="004111D7"/>
    <w:rsid w:val="00414546"/>
    <w:rsid w:val="00414988"/>
    <w:rsid w:val="00415239"/>
    <w:rsid w:val="004154CE"/>
    <w:rsid w:val="00415833"/>
    <w:rsid w:val="00416476"/>
    <w:rsid w:val="00416ABF"/>
    <w:rsid w:val="00416CB7"/>
    <w:rsid w:val="00417AEE"/>
    <w:rsid w:val="00417BB1"/>
    <w:rsid w:val="00417F26"/>
    <w:rsid w:val="00420915"/>
    <w:rsid w:val="00420C73"/>
    <w:rsid w:val="00421496"/>
    <w:rsid w:val="00423185"/>
    <w:rsid w:val="00424B11"/>
    <w:rsid w:val="00426776"/>
    <w:rsid w:val="00427195"/>
    <w:rsid w:val="00427C67"/>
    <w:rsid w:val="004314AE"/>
    <w:rsid w:val="0043315D"/>
    <w:rsid w:val="00433F68"/>
    <w:rsid w:val="0043625D"/>
    <w:rsid w:val="004372B2"/>
    <w:rsid w:val="00440571"/>
    <w:rsid w:val="00441047"/>
    <w:rsid w:val="00442234"/>
    <w:rsid w:val="00442A1D"/>
    <w:rsid w:val="00442AA7"/>
    <w:rsid w:val="00442D99"/>
    <w:rsid w:val="00442EEE"/>
    <w:rsid w:val="004445F1"/>
    <w:rsid w:val="00444D21"/>
    <w:rsid w:val="0044632E"/>
    <w:rsid w:val="004479A0"/>
    <w:rsid w:val="00456CAC"/>
    <w:rsid w:val="00457E09"/>
    <w:rsid w:val="0046144D"/>
    <w:rsid w:val="004618D7"/>
    <w:rsid w:val="00462205"/>
    <w:rsid w:val="00462A4F"/>
    <w:rsid w:val="00464538"/>
    <w:rsid w:val="00465938"/>
    <w:rsid w:val="00467BE6"/>
    <w:rsid w:val="00471801"/>
    <w:rsid w:val="00471F46"/>
    <w:rsid w:val="0047334E"/>
    <w:rsid w:val="00477770"/>
    <w:rsid w:val="00480367"/>
    <w:rsid w:val="00483183"/>
    <w:rsid w:val="00484E8E"/>
    <w:rsid w:val="0049064A"/>
    <w:rsid w:val="004909BD"/>
    <w:rsid w:val="00490A77"/>
    <w:rsid w:val="0049142C"/>
    <w:rsid w:val="00492007"/>
    <w:rsid w:val="00492179"/>
    <w:rsid w:val="00492FC7"/>
    <w:rsid w:val="00495168"/>
    <w:rsid w:val="00495862"/>
    <w:rsid w:val="00496C1D"/>
    <w:rsid w:val="0049784C"/>
    <w:rsid w:val="004A05D2"/>
    <w:rsid w:val="004A0FE7"/>
    <w:rsid w:val="004A2598"/>
    <w:rsid w:val="004A2E44"/>
    <w:rsid w:val="004A4F5D"/>
    <w:rsid w:val="004A573D"/>
    <w:rsid w:val="004B105C"/>
    <w:rsid w:val="004B13A0"/>
    <w:rsid w:val="004B1E13"/>
    <w:rsid w:val="004B337F"/>
    <w:rsid w:val="004B5604"/>
    <w:rsid w:val="004B733D"/>
    <w:rsid w:val="004B7516"/>
    <w:rsid w:val="004B7BDF"/>
    <w:rsid w:val="004C0F5C"/>
    <w:rsid w:val="004C5B49"/>
    <w:rsid w:val="004C5D03"/>
    <w:rsid w:val="004C6187"/>
    <w:rsid w:val="004C6926"/>
    <w:rsid w:val="004C7E9D"/>
    <w:rsid w:val="004D1A0B"/>
    <w:rsid w:val="004D2C8D"/>
    <w:rsid w:val="004D3E0B"/>
    <w:rsid w:val="004D4E14"/>
    <w:rsid w:val="004D5FE2"/>
    <w:rsid w:val="004D6FD6"/>
    <w:rsid w:val="004D7108"/>
    <w:rsid w:val="004D7E30"/>
    <w:rsid w:val="004E0048"/>
    <w:rsid w:val="004E123C"/>
    <w:rsid w:val="004E1875"/>
    <w:rsid w:val="004E245E"/>
    <w:rsid w:val="004E247C"/>
    <w:rsid w:val="004E3B5C"/>
    <w:rsid w:val="004E3B76"/>
    <w:rsid w:val="004E4750"/>
    <w:rsid w:val="004E567A"/>
    <w:rsid w:val="004E6C81"/>
    <w:rsid w:val="004F0AC7"/>
    <w:rsid w:val="004F0BD1"/>
    <w:rsid w:val="004F171C"/>
    <w:rsid w:val="004F211C"/>
    <w:rsid w:val="004F2BD6"/>
    <w:rsid w:val="004F4098"/>
    <w:rsid w:val="004F43F4"/>
    <w:rsid w:val="004F4FCA"/>
    <w:rsid w:val="004F50A3"/>
    <w:rsid w:val="004F54B0"/>
    <w:rsid w:val="004F5ED8"/>
    <w:rsid w:val="004F5F70"/>
    <w:rsid w:val="004F5FC2"/>
    <w:rsid w:val="004F64ED"/>
    <w:rsid w:val="0050392E"/>
    <w:rsid w:val="0050421B"/>
    <w:rsid w:val="005049CC"/>
    <w:rsid w:val="00504DD2"/>
    <w:rsid w:val="0051111A"/>
    <w:rsid w:val="0051139D"/>
    <w:rsid w:val="00512A37"/>
    <w:rsid w:val="00513193"/>
    <w:rsid w:val="0051458B"/>
    <w:rsid w:val="0051588A"/>
    <w:rsid w:val="00515EB3"/>
    <w:rsid w:val="00517B4C"/>
    <w:rsid w:val="00520480"/>
    <w:rsid w:val="00521289"/>
    <w:rsid w:val="00521974"/>
    <w:rsid w:val="0053064F"/>
    <w:rsid w:val="00530F2E"/>
    <w:rsid w:val="0053229B"/>
    <w:rsid w:val="00532323"/>
    <w:rsid w:val="005328D9"/>
    <w:rsid w:val="00534B2F"/>
    <w:rsid w:val="00535404"/>
    <w:rsid w:val="00537093"/>
    <w:rsid w:val="005371DA"/>
    <w:rsid w:val="00537741"/>
    <w:rsid w:val="00540A1F"/>
    <w:rsid w:val="00542C19"/>
    <w:rsid w:val="00544A6A"/>
    <w:rsid w:val="005454B6"/>
    <w:rsid w:val="00545EBD"/>
    <w:rsid w:val="005462D7"/>
    <w:rsid w:val="005501D5"/>
    <w:rsid w:val="00551A11"/>
    <w:rsid w:val="00551D2D"/>
    <w:rsid w:val="00554C05"/>
    <w:rsid w:val="00555251"/>
    <w:rsid w:val="005577AC"/>
    <w:rsid w:val="00557BDB"/>
    <w:rsid w:val="00560962"/>
    <w:rsid w:val="00565651"/>
    <w:rsid w:val="00565D4C"/>
    <w:rsid w:val="0056703D"/>
    <w:rsid w:val="00570402"/>
    <w:rsid w:val="00571A71"/>
    <w:rsid w:val="00571AE0"/>
    <w:rsid w:val="0057330C"/>
    <w:rsid w:val="0057388F"/>
    <w:rsid w:val="00573897"/>
    <w:rsid w:val="005748D8"/>
    <w:rsid w:val="0057574F"/>
    <w:rsid w:val="00575B54"/>
    <w:rsid w:val="00575F6A"/>
    <w:rsid w:val="0057621B"/>
    <w:rsid w:val="00580234"/>
    <w:rsid w:val="005822E7"/>
    <w:rsid w:val="0058452B"/>
    <w:rsid w:val="005845E8"/>
    <w:rsid w:val="00585D8D"/>
    <w:rsid w:val="0059034F"/>
    <w:rsid w:val="00590AFA"/>
    <w:rsid w:val="005931EB"/>
    <w:rsid w:val="005933A1"/>
    <w:rsid w:val="00594B5A"/>
    <w:rsid w:val="00595B2D"/>
    <w:rsid w:val="00596EF8"/>
    <w:rsid w:val="0059786C"/>
    <w:rsid w:val="00597C41"/>
    <w:rsid w:val="005A2F40"/>
    <w:rsid w:val="005A3B62"/>
    <w:rsid w:val="005A5087"/>
    <w:rsid w:val="005A5E33"/>
    <w:rsid w:val="005A5E96"/>
    <w:rsid w:val="005A66FE"/>
    <w:rsid w:val="005A6821"/>
    <w:rsid w:val="005A7F25"/>
    <w:rsid w:val="005B015B"/>
    <w:rsid w:val="005B1243"/>
    <w:rsid w:val="005B6310"/>
    <w:rsid w:val="005B7B90"/>
    <w:rsid w:val="005B7CDE"/>
    <w:rsid w:val="005C172D"/>
    <w:rsid w:val="005C1793"/>
    <w:rsid w:val="005C3C36"/>
    <w:rsid w:val="005C3C84"/>
    <w:rsid w:val="005C508A"/>
    <w:rsid w:val="005C588E"/>
    <w:rsid w:val="005D1EE8"/>
    <w:rsid w:val="005D2CF3"/>
    <w:rsid w:val="005D4892"/>
    <w:rsid w:val="005D5A30"/>
    <w:rsid w:val="005D6B44"/>
    <w:rsid w:val="005E09CE"/>
    <w:rsid w:val="005E1B6A"/>
    <w:rsid w:val="005E2680"/>
    <w:rsid w:val="005E3176"/>
    <w:rsid w:val="005E35F0"/>
    <w:rsid w:val="005E4976"/>
    <w:rsid w:val="005E6045"/>
    <w:rsid w:val="005E64B1"/>
    <w:rsid w:val="005E65FC"/>
    <w:rsid w:val="005F1207"/>
    <w:rsid w:val="005F478E"/>
    <w:rsid w:val="005F5372"/>
    <w:rsid w:val="005F6818"/>
    <w:rsid w:val="005F7B60"/>
    <w:rsid w:val="00600D27"/>
    <w:rsid w:val="00604C26"/>
    <w:rsid w:val="00605DD6"/>
    <w:rsid w:val="006063D6"/>
    <w:rsid w:val="0060663A"/>
    <w:rsid w:val="00607F80"/>
    <w:rsid w:val="0061040E"/>
    <w:rsid w:val="00611563"/>
    <w:rsid w:val="006116C8"/>
    <w:rsid w:val="006118F0"/>
    <w:rsid w:val="0061248A"/>
    <w:rsid w:val="0061284F"/>
    <w:rsid w:val="006143D2"/>
    <w:rsid w:val="00616687"/>
    <w:rsid w:val="00616B65"/>
    <w:rsid w:val="006170EA"/>
    <w:rsid w:val="006179B7"/>
    <w:rsid w:val="00620668"/>
    <w:rsid w:val="00620D0E"/>
    <w:rsid w:val="0062127A"/>
    <w:rsid w:val="00621501"/>
    <w:rsid w:val="0062181C"/>
    <w:rsid w:val="006241A2"/>
    <w:rsid w:val="00624C8B"/>
    <w:rsid w:val="006256F9"/>
    <w:rsid w:val="006307BF"/>
    <w:rsid w:val="00632A34"/>
    <w:rsid w:val="0063399C"/>
    <w:rsid w:val="00634721"/>
    <w:rsid w:val="00634F7A"/>
    <w:rsid w:val="00637452"/>
    <w:rsid w:val="00637533"/>
    <w:rsid w:val="0064073F"/>
    <w:rsid w:val="00643421"/>
    <w:rsid w:val="00644010"/>
    <w:rsid w:val="00644795"/>
    <w:rsid w:val="00644884"/>
    <w:rsid w:val="00645694"/>
    <w:rsid w:val="006475A8"/>
    <w:rsid w:val="00651492"/>
    <w:rsid w:val="0065159A"/>
    <w:rsid w:val="00651CC4"/>
    <w:rsid w:val="00651E7A"/>
    <w:rsid w:val="006522C8"/>
    <w:rsid w:val="00653AF8"/>
    <w:rsid w:val="0065481B"/>
    <w:rsid w:val="00654A9C"/>
    <w:rsid w:val="00655FC4"/>
    <w:rsid w:val="00656ABF"/>
    <w:rsid w:val="00660B44"/>
    <w:rsid w:val="006612CC"/>
    <w:rsid w:val="00661937"/>
    <w:rsid w:val="00661AB8"/>
    <w:rsid w:val="006620C9"/>
    <w:rsid w:val="00663667"/>
    <w:rsid w:val="006673FE"/>
    <w:rsid w:val="0066791C"/>
    <w:rsid w:val="006720A8"/>
    <w:rsid w:val="00672332"/>
    <w:rsid w:val="0067247C"/>
    <w:rsid w:val="00673819"/>
    <w:rsid w:val="00674D9B"/>
    <w:rsid w:val="00674EA0"/>
    <w:rsid w:val="00675507"/>
    <w:rsid w:val="00675D93"/>
    <w:rsid w:val="006778AF"/>
    <w:rsid w:val="0068014D"/>
    <w:rsid w:val="00681C20"/>
    <w:rsid w:val="00683943"/>
    <w:rsid w:val="00683C4B"/>
    <w:rsid w:val="0068474A"/>
    <w:rsid w:val="00686650"/>
    <w:rsid w:val="006926AC"/>
    <w:rsid w:val="00694FCF"/>
    <w:rsid w:val="0069532B"/>
    <w:rsid w:val="00696FF6"/>
    <w:rsid w:val="0069786A"/>
    <w:rsid w:val="00697DE2"/>
    <w:rsid w:val="00697F1C"/>
    <w:rsid w:val="006A1ACF"/>
    <w:rsid w:val="006A3607"/>
    <w:rsid w:val="006A3AFA"/>
    <w:rsid w:val="006A3DBF"/>
    <w:rsid w:val="006A447D"/>
    <w:rsid w:val="006A62C5"/>
    <w:rsid w:val="006B2F41"/>
    <w:rsid w:val="006B3882"/>
    <w:rsid w:val="006B4073"/>
    <w:rsid w:val="006B41A1"/>
    <w:rsid w:val="006B43D9"/>
    <w:rsid w:val="006B60FC"/>
    <w:rsid w:val="006B72A3"/>
    <w:rsid w:val="006C0F9E"/>
    <w:rsid w:val="006C1B89"/>
    <w:rsid w:val="006C27C0"/>
    <w:rsid w:val="006C2B66"/>
    <w:rsid w:val="006C3115"/>
    <w:rsid w:val="006C3803"/>
    <w:rsid w:val="006C4615"/>
    <w:rsid w:val="006D07B3"/>
    <w:rsid w:val="006D0AEE"/>
    <w:rsid w:val="006D0E17"/>
    <w:rsid w:val="006D2FA1"/>
    <w:rsid w:val="006D3E52"/>
    <w:rsid w:val="006D52B7"/>
    <w:rsid w:val="006D5E0D"/>
    <w:rsid w:val="006D6AB9"/>
    <w:rsid w:val="006D73A7"/>
    <w:rsid w:val="006D7511"/>
    <w:rsid w:val="006D75FA"/>
    <w:rsid w:val="006D7B98"/>
    <w:rsid w:val="006E2388"/>
    <w:rsid w:val="006E26CB"/>
    <w:rsid w:val="006E2E86"/>
    <w:rsid w:val="006E33E2"/>
    <w:rsid w:val="006E4BEE"/>
    <w:rsid w:val="006E5554"/>
    <w:rsid w:val="006E59FC"/>
    <w:rsid w:val="006E77FD"/>
    <w:rsid w:val="006E79C4"/>
    <w:rsid w:val="006F0765"/>
    <w:rsid w:val="006F08D3"/>
    <w:rsid w:val="006F1E31"/>
    <w:rsid w:val="006F1F66"/>
    <w:rsid w:val="006F2977"/>
    <w:rsid w:val="006F32A0"/>
    <w:rsid w:val="006F3458"/>
    <w:rsid w:val="006F3D57"/>
    <w:rsid w:val="006F4C97"/>
    <w:rsid w:val="006F4E9D"/>
    <w:rsid w:val="006F5ACE"/>
    <w:rsid w:val="006F62DA"/>
    <w:rsid w:val="006F7CFB"/>
    <w:rsid w:val="00700634"/>
    <w:rsid w:val="007011CF"/>
    <w:rsid w:val="0070364F"/>
    <w:rsid w:val="007037E7"/>
    <w:rsid w:val="00704190"/>
    <w:rsid w:val="00705275"/>
    <w:rsid w:val="00706D95"/>
    <w:rsid w:val="0070700D"/>
    <w:rsid w:val="0070784A"/>
    <w:rsid w:val="00707E46"/>
    <w:rsid w:val="00711FA1"/>
    <w:rsid w:val="007127EB"/>
    <w:rsid w:val="0071371C"/>
    <w:rsid w:val="00714E39"/>
    <w:rsid w:val="007150E9"/>
    <w:rsid w:val="00715E7A"/>
    <w:rsid w:val="007165DA"/>
    <w:rsid w:val="00716791"/>
    <w:rsid w:val="0071756C"/>
    <w:rsid w:val="00717E73"/>
    <w:rsid w:val="007215FA"/>
    <w:rsid w:val="00722654"/>
    <w:rsid w:val="00725CDA"/>
    <w:rsid w:val="00726A55"/>
    <w:rsid w:val="007271A1"/>
    <w:rsid w:val="007301B1"/>
    <w:rsid w:val="007302FC"/>
    <w:rsid w:val="00731179"/>
    <w:rsid w:val="0073278D"/>
    <w:rsid w:val="00733374"/>
    <w:rsid w:val="00735093"/>
    <w:rsid w:val="00735A6A"/>
    <w:rsid w:val="00736A6D"/>
    <w:rsid w:val="00736D98"/>
    <w:rsid w:val="007410D8"/>
    <w:rsid w:val="0074180B"/>
    <w:rsid w:val="007420A9"/>
    <w:rsid w:val="00743444"/>
    <w:rsid w:val="0074359A"/>
    <w:rsid w:val="00744957"/>
    <w:rsid w:val="00744A83"/>
    <w:rsid w:val="00744BC1"/>
    <w:rsid w:val="0074574C"/>
    <w:rsid w:val="0074660C"/>
    <w:rsid w:val="00751184"/>
    <w:rsid w:val="00751856"/>
    <w:rsid w:val="0075199C"/>
    <w:rsid w:val="00752441"/>
    <w:rsid w:val="00752BD0"/>
    <w:rsid w:val="00753975"/>
    <w:rsid w:val="0075671B"/>
    <w:rsid w:val="00760801"/>
    <w:rsid w:val="00760B10"/>
    <w:rsid w:val="00762E00"/>
    <w:rsid w:val="00763186"/>
    <w:rsid w:val="00763290"/>
    <w:rsid w:val="00764690"/>
    <w:rsid w:val="0077085D"/>
    <w:rsid w:val="00770B4F"/>
    <w:rsid w:val="0077126A"/>
    <w:rsid w:val="00772544"/>
    <w:rsid w:val="00773408"/>
    <w:rsid w:val="0077515A"/>
    <w:rsid w:val="00777821"/>
    <w:rsid w:val="00781A82"/>
    <w:rsid w:val="00783C0B"/>
    <w:rsid w:val="00783E52"/>
    <w:rsid w:val="00785F7E"/>
    <w:rsid w:val="00786C7E"/>
    <w:rsid w:val="007876D5"/>
    <w:rsid w:val="00787E24"/>
    <w:rsid w:val="00790E15"/>
    <w:rsid w:val="00791752"/>
    <w:rsid w:val="00793E9A"/>
    <w:rsid w:val="00794FB7"/>
    <w:rsid w:val="007958FF"/>
    <w:rsid w:val="007A116F"/>
    <w:rsid w:val="007A1FF7"/>
    <w:rsid w:val="007A5E10"/>
    <w:rsid w:val="007A5F60"/>
    <w:rsid w:val="007A5FF9"/>
    <w:rsid w:val="007A61A1"/>
    <w:rsid w:val="007A748B"/>
    <w:rsid w:val="007B0105"/>
    <w:rsid w:val="007B096F"/>
    <w:rsid w:val="007B0AE1"/>
    <w:rsid w:val="007B16CB"/>
    <w:rsid w:val="007B4138"/>
    <w:rsid w:val="007B479B"/>
    <w:rsid w:val="007B4C13"/>
    <w:rsid w:val="007B4CDB"/>
    <w:rsid w:val="007B4FD0"/>
    <w:rsid w:val="007B54DF"/>
    <w:rsid w:val="007B5E20"/>
    <w:rsid w:val="007B630A"/>
    <w:rsid w:val="007C022D"/>
    <w:rsid w:val="007C079F"/>
    <w:rsid w:val="007C0A3E"/>
    <w:rsid w:val="007C7244"/>
    <w:rsid w:val="007C7CBE"/>
    <w:rsid w:val="007D2ABA"/>
    <w:rsid w:val="007D3B84"/>
    <w:rsid w:val="007D5F9E"/>
    <w:rsid w:val="007D5FB6"/>
    <w:rsid w:val="007D6656"/>
    <w:rsid w:val="007E10DE"/>
    <w:rsid w:val="007E1AF6"/>
    <w:rsid w:val="007E1CE5"/>
    <w:rsid w:val="007E1D95"/>
    <w:rsid w:val="007E2D99"/>
    <w:rsid w:val="007E2DC9"/>
    <w:rsid w:val="007E380D"/>
    <w:rsid w:val="007E3E6D"/>
    <w:rsid w:val="007E4DEF"/>
    <w:rsid w:val="007E580D"/>
    <w:rsid w:val="007F0CF6"/>
    <w:rsid w:val="007F1632"/>
    <w:rsid w:val="007F1C46"/>
    <w:rsid w:val="007F2FA5"/>
    <w:rsid w:val="007F4174"/>
    <w:rsid w:val="007F4284"/>
    <w:rsid w:val="007F7251"/>
    <w:rsid w:val="007F7C3E"/>
    <w:rsid w:val="00800456"/>
    <w:rsid w:val="0080109F"/>
    <w:rsid w:val="00802388"/>
    <w:rsid w:val="00802B7B"/>
    <w:rsid w:val="00802DE5"/>
    <w:rsid w:val="008034BF"/>
    <w:rsid w:val="00804C7B"/>
    <w:rsid w:val="00805619"/>
    <w:rsid w:val="008066B1"/>
    <w:rsid w:val="00806E60"/>
    <w:rsid w:val="0080730C"/>
    <w:rsid w:val="00807523"/>
    <w:rsid w:val="00811D86"/>
    <w:rsid w:val="00813043"/>
    <w:rsid w:val="008132E0"/>
    <w:rsid w:val="008134BE"/>
    <w:rsid w:val="008137D7"/>
    <w:rsid w:val="00814585"/>
    <w:rsid w:val="0081483D"/>
    <w:rsid w:val="00814912"/>
    <w:rsid w:val="00814EE9"/>
    <w:rsid w:val="00815B45"/>
    <w:rsid w:val="008160D3"/>
    <w:rsid w:val="00816974"/>
    <w:rsid w:val="00816D13"/>
    <w:rsid w:val="008202F3"/>
    <w:rsid w:val="0082030B"/>
    <w:rsid w:val="00821A7C"/>
    <w:rsid w:val="00823F0B"/>
    <w:rsid w:val="00824113"/>
    <w:rsid w:val="00824649"/>
    <w:rsid w:val="008248A8"/>
    <w:rsid w:val="0082588C"/>
    <w:rsid w:val="00825EB6"/>
    <w:rsid w:val="00825F16"/>
    <w:rsid w:val="00826E2E"/>
    <w:rsid w:val="008311E7"/>
    <w:rsid w:val="008315B6"/>
    <w:rsid w:val="00834AD2"/>
    <w:rsid w:val="0083522A"/>
    <w:rsid w:val="00835AC7"/>
    <w:rsid w:val="00836A66"/>
    <w:rsid w:val="00836E05"/>
    <w:rsid w:val="00837B91"/>
    <w:rsid w:val="00837E52"/>
    <w:rsid w:val="008412FD"/>
    <w:rsid w:val="008413D9"/>
    <w:rsid w:val="00842720"/>
    <w:rsid w:val="00842874"/>
    <w:rsid w:val="00842B85"/>
    <w:rsid w:val="00842EB1"/>
    <w:rsid w:val="008437C2"/>
    <w:rsid w:val="00843BC0"/>
    <w:rsid w:val="00843C5C"/>
    <w:rsid w:val="00843D66"/>
    <w:rsid w:val="0084448E"/>
    <w:rsid w:val="008445D9"/>
    <w:rsid w:val="00845402"/>
    <w:rsid w:val="00845B37"/>
    <w:rsid w:val="0084605F"/>
    <w:rsid w:val="00847985"/>
    <w:rsid w:val="00847F5E"/>
    <w:rsid w:val="00850121"/>
    <w:rsid w:val="008523AE"/>
    <w:rsid w:val="00852628"/>
    <w:rsid w:val="00854854"/>
    <w:rsid w:val="00855218"/>
    <w:rsid w:val="0085675C"/>
    <w:rsid w:val="00856CDF"/>
    <w:rsid w:val="008621FB"/>
    <w:rsid w:val="00862A7F"/>
    <w:rsid w:val="008633C1"/>
    <w:rsid w:val="00863CC3"/>
    <w:rsid w:val="00864755"/>
    <w:rsid w:val="00865A5A"/>
    <w:rsid w:val="00867404"/>
    <w:rsid w:val="00870B0F"/>
    <w:rsid w:val="00871A15"/>
    <w:rsid w:val="00871B13"/>
    <w:rsid w:val="00872135"/>
    <w:rsid w:val="00873433"/>
    <w:rsid w:val="00874123"/>
    <w:rsid w:val="00874F3F"/>
    <w:rsid w:val="00875054"/>
    <w:rsid w:val="008761D2"/>
    <w:rsid w:val="008766AA"/>
    <w:rsid w:val="00876B4E"/>
    <w:rsid w:val="0087766B"/>
    <w:rsid w:val="008779EF"/>
    <w:rsid w:val="008803BB"/>
    <w:rsid w:val="0088048C"/>
    <w:rsid w:val="00882F85"/>
    <w:rsid w:val="008853A6"/>
    <w:rsid w:val="00885612"/>
    <w:rsid w:val="00885976"/>
    <w:rsid w:val="00885C85"/>
    <w:rsid w:val="00887799"/>
    <w:rsid w:val="00890929"/>
    <w:rsid w:val="00892299"/>
    <w:rsid w:val="008926E4"/>
    <w:rsid w:val="00893219"/>
    <w:rsid w:val="008938F7"/>
    <w:rsid w:val="00893B70"/>
    <w:rsid w:val="00893D71"/>
    <w:rsid w:val="00894AC9"/>
    <w:rsid w:val="00896C70"/>
    <w:rsid w:val="008974B2"/>
    <w:rsid w:val="00897CBF"/>
    <w:rsid w:val="008A0722"/>
    <w:rsid w:val="008A091C"/>
    <w:rsid w:val="008A21D1"/>
    <w:rsid w:val="008A3D75"/>
    <w:rsid w:val="008A4A07"/>
    <w:rsid w:val="008A4EDE"/>
    <w:rsid w:val="008A5C6D"/>
    <w:rsid w:val="008A6EAD"/>
    <w:rsid w:val="008B10F0"/>
    <w:rsid w:val="008B294B"/>
    <w:rsid w:val="008B2C21"/>
    <w:rsid w:val="008B5591"/>
    <w:rsid w:val="008B55E3"/>
    <w:rsid w:val="008B70C4"/>
    <w:rsid w:val="008B76E1"/>
    <w:rsid w:val="008C00CC"/>
    <w:rsid w:val="008C0A63"/>
    <w:rsid w:val="008C0CA0"/>
    <w:rsid w:val="008C116C"/>
    <w:rsid w:val="008C1BD5"/>
    <w:rsid w:val="008C1DF3"/>
    <w:rsid w:val="008C2443"/>
    <w:rsid w:val="008C2C2C"/>
    <w:rsid w:val="008C41FA"/>
    <w:rsid w:val="008C56C5"/>
    <w:rsid w:val="008C5A52"/>
    <w:rsid w:val="008C5D40"/>
    <w:rsid w:val="008C65C3"/>
    <w:rsid w:val="008D0053"/>
    <w:rsid w:val="008D0AE5"/>
    <w:rsid w:val="008D1056"/>
    <w:rsid w:val="008D263A"/>
    <w:rsid w:val="008D3B33"/>
    <w:rsid w:val="008D5928"/>
    <w:rsid w:val="008D69EE"/>
    <w:rsid w:val="008E29A2"/>
    <w:rsid w:val="008E30AA"/>
    <w:rsid w:val="008E3CE2"/>
    <w:rsid w:val="008E4BEC"/>
    <w:rsid w:val="008E597B"/>
    <w:rsid w:val="008E6343"/>
    <w:rsid w:val="008E68BC"/>
    <w:rsid w:val="008E7A68"/>
    <w:rsid w:val="008F089C"/>
    <w:rsid w:val="008F2D77"/>
    <w:rsid w:val="008F339B"/>
    <w:rsid w:val="008F3752"/>
    <w:rsid w:val="008F458A"/>
    <w:rsid w:val="008F4DA9"/>
    <w:rsid w:val="008F5AE4"/>
    <w:rsid w:val="008F67AE"/>
    <w:rsid w:val="00902363"/>
    <w:rsid w:val="0090471C"/>
    <w:rsid w:val="00905105"/>
    <w:rsid w:val="009052C5"/>
    <w:rsid w:val="00905DA2"/>
    <w:rsid w:val="009060B7"/>
    <w:rsid w:val="00906128"/>
    <w:rsid w:val="00907724"/>
    <w:rsid w:val="00907C47"/>
    <w:rsid w:val="00907D7A"/>
    <w:rsid w:val="009115C4"/>
    <w:rsid w:val="009137BB"/>
    <w:rsid w:val="00914B98"/>
    <w:rsid w:val="00915393"/>
    <w:rsid w:val="00916BA7"/>
    <w:rsid w:val="009206C3"/>
    <w:rsid w:val="0092083D"/>
    <w:rsid w:val="00920C32"/>
    <w:rsid w:val="00920CFA"/>
    <w:rsid w:val="00921D13"/>
    <w:rsid w:val="00922625"/>
    <w:rsid w:val="009229F2"/>
    <w:rsid w:val="00922FBE"/>
    <w:rsid w:val="009233B1"/>
    <w:rsid w:val="00923BC5"/>
    <w:rsid w:val="009243ED"/>
    <w:rsid w:val="00924427"/>
    <w:rsid w:val="0092460A"/>
    <w:rsid w:val="00924773"/>
    <w:rsid w:val="00924F1A"/>
    <w:rsid w:val="0092580B"/>
    <w:rsid w:val="00926508"/>
    <w:rsid w:val="009312CF"/>
    <w:rsid w:val="00932574"/>
    <w:rsid w:val="0093402B"/>
    <w:rsid w:val="009342B1"/>
    <w:rsid w:val="009344D2"/>
    <w:rsid w:val="00934AC7"/>
    <w:rsid w:val="00934DAA"/>
    <w:rsid w:val="00935411"/>
    <w:rsid w:val="009355A4"/>
    <w:rsid w:val="009359AA"/>
    <w:rsid w:val="00936EA2"/>
    <w:rsid w:val="0093755B"/>
    <w:rsid w:val="009376E9"/>
    <w:rsid w:val="00937828"/>
    <w:rsid w:val="00941A50"/>
    <w:rsid w:val="00942028"/>
    <w:rsid w:val="00942327"/>
    <w:rsid w:val="009438CB"/>
    <w:rsid w:val="00943911"/>
    <w:rsid w:val="0094645C"/>
    <w:rsid w:val="00947023"/>
    <w:rsid w:val="009509FD"/>
    <w:rsid w:val="00950B6D"/>
    <w:rsid w:val="00950D6B"/>
    <w:rsid w:val="009516E3"/>
    <w:rsid w:val="00953FE8"/>
    <w:rsid w:val="0095650B"/>
    <w:rsid w:val="00956B89"/>
    <w:rsid w:val="009574F4"/>
    <w:rsid w:val="00957533"/>
    <w:rsid w:val="0095DEA8"/>
    <w:rsid w:val="00960238"/>
    <w:rsid w:val="00962A7F"/>
    <w:rsid w:val="00962D5C"/>
    <w:rsid w:val="00963C26"/>
    <w:rsid w:val="00965888"/>
    <w:rsid w:val="00966805"/>
    <w:rsid w:val="00966B9B"/>
    <w:rsid w:val="00967305"/>
    <w:rsid w:val="00967B58"/>
    <w:rsid w:val="009712BF"/>
    <w:rsid w:val="009726DA"/>
    <w:rsid w:val="0097305C"/>
    <w:rsid w:val="009747BD"/>
    <w:rsid w:val="00975DD9"/>
    <w:rsid w:val="00976ED7"/>
    <w:rsid w:val="00977584"/>
    <w:rsid w:val="00977807"/>
    <w:rsid w:val="0098051A"/>
    <w:rsid w:val="00980C4D"/>
    <w:rsid w:val="00982989"/>
    <w:rsid w:val="009835CF"/>
    <w:rsid w:val="00987028"/>
    <w:rsid w:val="00987B00"/>
    <w:rsid w:val="00987C15"/>
    <w:rsid w:val="00990820"/>
    <w:rsid w:val="00991578"/>
    <w:rsid w:val="0099183C"/>
    <w:rsid w:val="0099249D"/>
    <w:rsid w:val="00995ECB"/>
    <w:rsid w:val="009973AF"/>
    <w:rsid w:val="009A05B3"/>
    <w:rsid w:val="009A23B6"/>
    <w:rsid w:val="009A284A"/>
    <w:rsid w:val="009A343B"/>
    <w:rsid w:val="009A3519"/>
    <w:rsid w:val="009A3881"/>
    <w:rsid w:val="009A4903"/>
    <w:rsid w:val="009A58B0"/>
    <w:rsid w:val="009A6C91"/>
    <w:rsid w:val="009A73CE"/>
    <w:rsid w:val="009A7CE1"/>
    <w:rsid w:val="009B172B"/>
    <w:rsid w:val="009B190F"/>
    <w:rsid w:val="009B27AB"/>
    <w:rsid w:val="009B3170"/>
    <w:rsid w:val="009B383A"/>
    <w:rsid w:val="009B3A3E"/>
    <w:rsid w:val="009B3A4C"/>
    <w:rsid w:val="009B47D8"/>
    <w:rsid w:val="009B4E64"/>
    <w:rsid w:val="009B5541"/>
    <w:rsid w:val="009B5F14"/>
    <w:rsid w:val="009C03DA"/>
    <w:rsid w:val="009C15DD"/>
    <w:rsid w:val="009C27E9"/>
    <w:rsid w:val="009C47EE"/>
    <w:rsid w:val="009D1014"/>
    <w:rsid w:val="009D2B52"/>
    <w:rsid w:val="009D3191"/>
    <w:rsid w:val="009D3B43"/>
    <w:rsid w:val="009D516B"/>
    <w:rsid w:val="009D51B0"/>
    <w:rsid w:val="009D5A10"/>
    <w:rsid w:val="009D6813"/>
    <w:rsid w:val="009D69C3"/>
    <w:rsid w:val="009D7DA3"/>
    <w:rsid w:val="009E12D5"/>
    <w:rsid w:val="009E2180"/>
    <w:rsid w:val="009E2F95"/>
    <w:rsid w:val="009E4DB3"/>
    <w:rsid w:val="009E60FD"/>
    <w:rsid w:val="009E7F37"/>
    <w:rsid w:val="009F11EA"/>
    <w:rsid w:val="009F6011"/>
    <w:rsid w:val="009F6114"/>
    <w:rsid w:val="009F62E3"/>
    <w:rsid w:val="009F65F4"/>
    <w:rsid w:val="00A00284"/>
    <w:rsid w:val="00A01DCA"/>
    <w:rsid w:val="00A02EAE"/>
    <w:rsid w:val="00A0469E"/>
    <w:rsid w:val="00A078C4"/>
    <w:rsid w:val="00A0799E"/>
    <w:rsid w:val="00A10A52"/>
    <w:rsid w:val="00A10D36"/>
    <w:rsid w:val="00A1229E"/>
    <w:rsid w:val="00A15C44"/>
    <w:rsid w:val="00A16082"/>
    <w:rsid w:val="00A16199"/>
    <w:rsid w:val="00A17EF3"/>
    <w:rsid w:val="00A20488"/>
    <w:rsid w:val="00A20A47"/>
    <w:rsid w:val="00A233D3"/>
    <w:rsid w:val="00A2408F"/>
    <w:rsid w:val="00A24226"/>
    <w:rsid w:val="00A2422F"/>
    <w:rsid w:val="00A24847"/>
    <w:rsid w:val="00A24BBB"/>
    <w:rsid w:val="00A2586B"/>
    <w:rsid w:val="00A25B24"/>
    <w:rsid w:val="00A2603C"/>
    <w:rsid w:val="00A27292"/>
    <w:rsid w:val="00A275A3"/>
    <w:rsid w:val="00A27685"/>
    <w:rsid w:val="00A30D85"/>
    <w:rsid w:val="00A318C1"/>
    <w:rsid w:val="00A32295"/>
    <w:rsid w:val="00A32AAC"/>
    <w:rsid w:val="00A32E05"/>
    <w:rsid w:val="00A3417D"/>
    <w:rsid w:val="00A341B8"/>
    <w:rsid w:val="00A347D1"/>
    <w:rsid w:val="00A36876"/>
    <w:rsid w:val="00A36D8B"/>
    <w:rsid w:val="00A36EDD"/>
    <w:rsid w:val="00A36EF8"/>
    <w:rsid w:val="00A40837"/>
    <w:rsid w:val="00A40E70"/>
    <w:rsid w:val="00A4199C"/>
    <w:rsid w:val="00A41F10"/>
    <w:rsid w:val="00A43428"/>
    <w:rsid w:val="00A442E1"/>
    <w:rsid w:val="00A44857"/>
    <w:rsid w:val="00A510A9"/>
    <w:rsid w:val="00A512C7"/>
    <w:rsid w:val="00A51D5F"/>
    <w:rsid w:val="00A51D90"/>
    <w:rsid w:val="00A52AE0"/>
    <w:rsid w:val="00A53A8E"/>
    <w:rsid w:val="00A54011"/>
    <w:rsid w:val="00A542EB"/>
    <w:rsid w:val="00A54B4F"/>
    <w:rsid w:val="00A551C7"/>
    <w:rsid w:val="00A56DF3"/>
    <w:rsid w:val="00A57C28"/>
    <w:rsid w:val="00A60261"/>
    <w:rsid w:val="00A608CC"/>
    <w:rsid w:val="00A62709"/>
    <w:rsid w:val="00A63654"/>
    <w:rsid w:val="00A6483C"/>
    <w:rsid w:val="00A64868"/>
    <w:rsid w:val="00A65300"/>
    <w:rsid w:val="00A66C4D"/>
    <w:rsid w:val="00A670FF"/>
    <w:rsid w:val="00A7024E"/>
    <w:rsid w:val="00A71FB9"/>
    <w:rsid w:val="00A72742"/>
    <w:rsid w:val="00A72CFB"/>
    <w:rsid w:val="00A7393E"/>
    <w:rsid w:val="00A740E7"/>
    <w:rsid w:val="00A75153"/>
    <w:rsid w:val="00A752B4"/>
    <w:rsid w:val="00A75E47"/>
    <w:rsid w:val="00A75E6C"/>
    <w:rsid w:val="00A8032E"/>
    <w:rsid w:val="00A80A2F"/>
    <w:rsid w:val="00A80B3E"/>
    <w:rsid w:val="00A812A0"/>
    <w:rsid w:val="00A82ADA"/>
    <w:rsid w:val="00A83127"/>
    <w:rsid w:val="00A83317"/>
    <w:rsid w:val="00A85A36"/>
    <w:rsid w:val="00A866CA"/>
    <w:rsid w:val="00A92F51"/>
    <w:rsid w:val="00A96DEE"/>
    <w:rsid w:val="00A97367"/>
    <w:rsid w:val="00AA0CCE"/>
    <w:rsid w:val="00AA1871"/>
    <w:rsid w:val="00AA2E26"/>
    <w:rsid w:val="00AA3599"/>
    <w:rsid w:val="00AA512E"/>
    <w:rsid w:val="00AA613B"/>
    <w:rsid w:val="00AA6FCF"/>
    <w:rsid w:val="00AA718C"/>
    <w:rsid w:val="00AB0EF3"/>
    <w:rsid w:val="00AB0FEE"/>
    <w:rsid w:val="00AB2928"/>
    <w:rsid w:val="00AB2EB1"/>
    <w:rsid w:val="00AB2F36"/>
    <w:rsid w:val="00AB3A11"/>
    <w:rsid w:val="00AB41F9"/>
    <w:rsid w:val="00AB459C"/>
    <w:rsid w:val="00AB5364"/>
    <w:rsid w:val="00AB6F07"/>
    <w:rsid w:val="00AB710C"/>
    <w:rsid w:val="00AB77EF"/>
    <w:rsid w:val="00AB7C63"/>
    <w:rsid w:val="00AC0617"/>
    <w:rsid w:val="00AC2846"/>
    <w:rsid w:val="00AC3B1C"/>
    <w:rsid w:val="00AC78CC"/>
    <w:rsid w:val="00AC7DE0"/>
    <w:rsid w:val="00AD035B"/>
    <w:rsid w:val="00AD0831"/>
    <w:rsid w:val="00AD17C7"/>
    <w:rsid w:val="00AD1A36"/>
    <w:rsid w:val="00AD25DA"/>
    <w:rsid w:val="00AD407B"/>
    <w:rsid w:val="00AD576B"/>
    <w:rsid w:val="00AD5A53"/>
    <w:rsid w:val="00AD69B1"/>
    <w:rsid w:val="00AE0AC8"/>
    <w:rsid w:val="00AE118A"/>
    <w:rsid w:val="00AE1507"/>
    <w:rsid w:val="00AE177C"/>
    <w:rsid w:val="00AE28A7"/>
    <w:rsid w:val="00AE4542"/>
    <w:rsid w:val="00AE457D"/>
    <w:rsid w:val="00AE617E"/>
    <w:rsid w:val="00AE678B"/>
    <w:rsid w:val="00AE67A3"/>
    <w:rsid w:val="00AE6D22"/>
    <w:rsid w:val="00AE7853"/>
    <w:rsid w:val="00AE7887"/>
    <w:rsid w:val="00AE7EAD"/>
    <w:rsid w:val="00AF0302"/>
    <w:rsid w:val="00AF115E"/>
    <w:rsid w:val="00AF1AF0"/>
    <w:rsid w:val="00AF27B5"/>
    <w:rsid w:val="00AF34B6"/>
    <w:rsid w:val="00AF3572"/>
    <w:rsid w:val="00AF49D6"/>
    <w:rsid w:val="00AF51E4"/>
    <w:rsid w:val="00AF6780"/>
    <w:rsid w:val="00AF70EB"/>
    <w:rsid w:val="00AF7936"/>
    <w:rsid w:val="00B000DB"/>
    <w:rsid w:val="00B00AB8"/>
    <w:rsid w:val="00B018C5"/>
    <w:rsid w:val="00B02E11"/>
    <w:rsid w:val="00B04512"/>
    <w:rsid w:val="00B04861"/>
    <w:rsid w:val="00B04F54"/>
    <w:rsid w:val="00B05D81"/>
    <w:rsid w:val="00B06127"/>
    <w:rsid w:val="00B0672D"/>
    <w:rsid w:val="00B07B92"/>
    <w:rsid w:val="00B10C83"/>
    <w:rsid w:val="00B113CB"/>
    <w:rsid w:val="00B11571"/>
    <w:rsid w:val="00B129A0"/>
    <w:rsid w:val="00B1312C"/>
    <w:rsid w:val="00B13872"/>
    <w:rsid w:val="00B13E6E"/>
    <w:rsid w:val="00B15026"/>
    <w:rsid w:val="00B15C98"/>
    <w:rsid w:val="00B16587"/>
    <w:rsid w:val="00B16BE9"/>
    <w:rsid w:val="00B17803"/>
    <w:rsid w:val="00B17FEB"/>
    <w:rsid w:val="00B20BB3"/>
    <w:rsid w:val="00B214E1"/>
    <w:rsid w:val="00B22701"/>
    <w:rsid w:val="00B253B6"/>
    <w:rsid w:val="00B256FD"/>
    <w:rsid w:val="00B26D2D"/>
    <w:rsid w:val="00B272C6"/>
    <w:rsid w:val="00B27383"/>
    <w:rsid w:val="00B27714"/>
    <w:rsid w:val="00B27DF5"/>
    <w:rsid w:val="00B3045B"/>
    <w:rsid w:val="00B3055B"/>
    <w:rsid w:val="00B34F45"/>
    <w:rsid w:val="00B35897"/>
    <w:rsid w:val="00B35B41"/>
    <w:rsid w:val="00B4167F"/>
    <w:rsid w:val="00B41E99"/>
    <w:rsid w:val="00B42271"/>
    <w:rsid w:val="00B42C58"/>
    <w:rsid w:val="00B4308C"/>
    <w:rsid w:val="00B45CA7"/>
    <w:rsid w:val="00B475E1"/>
    <w:rsid w:val="00B523D1"/>
    <w:rsid w:val="00B5301A"/>
    <w:rsid w:val="00B54DD8"/>
    <w:rsid w:val="00B56789"/>
    <w:rsid w:val="00B56E53"/>
    <w:rsid w:val="00B60DD3"/>
    <w:rsid w:val="00B61261"/>
    <w:rsid w:val="00B61AD9"/>
    <w:rsid w:val="00B61B2A"/>
    <w:rsid w:val="00B63E47"/>
    <w:rsid w:val="00B649FF"/>
    <w:rsid w:val="00B64BDB"/>
    <w:rsid w:val="00B6520A"/>
    <w:rsid w:val="00B6557D"/>
    <w:rsid w:val="00B65998"/>
    <w:rsid w:val="00B67E39"/>
    <w:rsid w:val="00B70830"/>
    <w:rsid w:val="00B7236E"/>
    <w:rsid w:val="00B74AB8"/>
    <w:rsid w:val="00B74B9C"/>
    <w:rsid w:val="00B751F7"/>
    <w:rsid w:val="00B77B5D"/>
    <w:rsid w:val="00B8177E"/>
    <w:rsid w:val="00B81B10"/>
    <w:rsid w:val="00B82A38"/>
    <w:rsid w:val="00B8563D"/>
    <w:rsid w:val="00B869E4"/>
    <w:rsid w:val="00B87D5F"/>
    <w:rsid w:val="00B87DA5"/>
    <w:rsid w:val="00B9041A"/>
    <w:rsid w:val="00B90F32"/>
    <w:rsid w:val="00B912C7"/>
    <w:rsid w:val="00B91477"/>
    <w:rsid w:val="00B93F42"/>
    <w:rsid w:val="00B95AB8"/>
    <w:rsid w:val="00B95C3B"/>
    <w:rsid w:val="00B96C39"/>
    <w:rsid w:val="00B97163"/>
    <w:rsid w:val="00B972DE"/>
    <w:rsid w:val="00BA06AB"/>
    <w:rsid w:val="00BA0874"/>
    <w:rsid w:val="00BA0AE6"/>
    <w:rsid w:val="00BA1535"/>
    <w:rsid w:val="00BA1EE2"/>
    <w:rsid w:val="00BA21E8"/>
    <w:rsid w:val="00BA51FC"/>
    <w:rsid w:val="00BA6F41"/>
    <w:rsid w:val="00BB1085"/>
    <w:rsid w:val="00BB1523"/>
    <w:rsid w:val="00BB2512"/>
    <w:rsid w:val="00BB34EA"/>
    <w:rsid w:val="00BB3E15"/>
    <w:rsid w:val="00BB3E46"/>
    <w:rsid w:val="00BB4F35"/>
    <w:rsid w:val="00BB5E15"/>
    <w:rsid w:val="00BB6FB2"/>
    <w:rsid w:val="00BB7118"/>
    <w:rsid w:val="00BB7C39"/>
    <w:rsid w:val="00BC11DF"/>
    <w:rsid w:val="00BC1C07"/>
    <w:rsid w:val="00BC258A"/>
    <w:rsid w:val="00BC25EA"/>
    <w:rsid w:val="00BC2B29"/>
    <w:rsid w:val="00BC2DD2"/>
    <w:rsid w:val="00BC3B51"/>
    <w:rsid w:val="00BC3C77"/>
    <w:rsid w:val="00BC4AF5"/>
    <w:rsid w:val="00BC5256"/>
    <w:rsid w:val="00BC54B0"/>
    <w:rsid w:val="00BC54D5"/>
    <w:rsid w:val="00BC5F58"/>
    <w:rsid w:val="00BC7FC2"/>
    <w:rsid w:val="00BD110C"/>
    <w:rsid w:val="00BD383D"/>
    <w:rsid w:val="00BD3F65"/>
    <w:rsid w:val="00BD43C0"/>
    <w:rsid w:val="00BD5373"/>
    <w:rsid w:val="00BD5C6E"/>
    <w:rsid w:val="00BD62A9"/>
    <w:rsid w:val="00BD717C"/>
    <w:rsid w:val="00BD7873"/>
    <w:rsid w:val="00BE0138"/>
    <w:rsid w:val="00BE2B84"/>
    <w:rsid w:val="00BE4DDA"/>
    <w:rsid w:val="00BE57BE"/>
    <w:rsid w:val="00BE6CAE"/>
    <w:rsid w:val="00BE7EDC"/>
    <w:rsid w:val="00BF3C36"/>
    <w:rsid w:val="00BF4FAA"/>
    <w:rsid w:val="00BF583F"/>
    <w:rsid w:val="00BF627C"/>
    <w:rsid w:val="00BF643F"/>
    <w:rsid w:val="00BF651E"/>
    <w:rsid w:val="00BF7E0D"/>
    <w:rsid w:val="00C00503"/>
    <w:rsid w:val="00C00DC6"/>
    <w:rsid w:val="00C010C2"/>
    <w:rsid w:val="00C01150"/>
    <w:rsid w:val="00C01346"/>
    <w:rsid w:val="00C0240B"/>
    <w:rsid w:val="00C02740"/>
    <w:rsid w:val="00C0320C"/>
    <w:rsid w:val="00C05BE8"/>
    <w:rsid w:val="00C05EF2"/>
    <w:rsid w:val="00C06CF5"/>
    <w:rsid w:val="00C06F36"/>
    <w:rsid w:val="00C07DF6"/>
    <w:rsid w:val="00C112F0"/>
    <w:rsid w:val="00C1171C"/>
    <w:rsid w:val="00C12A97"/>
    <w:rsid w:val="00C13981"/>
    <w:rsid w:val="00C13A47"/>
    <w:rsid w:val="00C14450"/>
    <w:rsid w:val="00C175EC"/>
    <w:rsid w:val="00C20320"/>
    <w:rsid w:val="00C2057C"/>
    <w:rsid w:val="00C20E13"/>
    <w:rsid w:val="00C210CE"/>
    <w:rsid w:val="00C219A8"/>
    <w:rsid w:val="00C226FC"/>
    <w:rsid w:val="00C238AB"/>
    <w:rsid w:val="00C242C1"/>
    <w:rsid w:val="00C248B7"/>
    <w:rsid w:val="00C31ACB"/>
    <w:rsid w:val="00C324C8"/>
    <w:rsid w:val="00C32A22"/>
    <w:rsid w:val="00C32BDB"/>
    <w:rsid w:val="00C32DDF"/>
    <w:rsid w:val="00C33DC3"/>
    <w:rsid w:val="00C33DDC"/>
    <w:rsid w:val="00C342F3"/>
    <w:rsid w:val="00C36761"/>
    <w:rsid w:val="00C371E9"/>
    <w:rsid w:val="00C3728F"/>
    <w:rsid w:val="00C375BE"/>
    <w:rsid w:val="00C40A32"/>
    <w:rsid w:val="00C41FC5"/>
    <w:rsid w:val="00C42410"/>
    <w:rsid w:val="00C43B01"/>
    <w:rsid w:val="00C4406C"/>
    <w:rsid w:val="00C442CD"/>
    <w:rsid w:val="00C44D59"/>
    <w:rsid w:val="00C45B83"/>
    <w:rsid w:val="00C466D8"/>
    <w:rsid w:val="00C47AA2"/>
    <w:rsid w:val="00C47E75"/>
    <w:rsid w:val="00C5146D"/>
    <w:rsid w:val="00C515C3"/>
    <w:rsid w:val="00C534B9"/>
    <w:rsid w:val="00C53795"/>
    <w:rsid w:val="00C5413C"/>
    <w:rsid w:val="00C54967"/>
    <w:rsid w:val="00C57C5D"/>
    <w:rsid w:val="00C60273"/>
    <w:rsid w:val="00C61B46"/>
    <w:rsid w:val="00C62982"/>
    <w:rsid w:val="00C63965"/>
    <w:rsid w:val="00C70913"/>
    <w:rsid w:val="00C70F7B"/>
    <w:rsid w:val="00C71CB3"/>
    <w:rsid w:val="00C72C32"/>
    <w:rsid w:val="00C73226"/>
    <w:rsid w:val="00C7388A"/>
    <w:rsid w:val="00C7469B"/>
    <w:rsid w:val="00C7544D"/>
    <w:rsid w:val="00C759F0"/>
    <w:rsid w:val="00C76DDE"/>
    <w:rsid w:val="00C81101"/>
    <w:rsid w:val="00C817D9"/>
    <w:rsid w:val="00C82664"/>
    <w:rsid w:val="00C832BE"/>
    <w:rsid w:val="00C84553"/>
    <w:rsid w:val="00C858DB"/>
    <w:rsid w:val="00C85E19"/>
    <w:rsid w:val="00C90111"/>
    <w:rsid w:val="00C905F6"/>
    <w:rsid w:val="00C90C80"/>
    <w:rsid w:val="00C927CF"/>
    <w:rsid w:val="00C9292A"/>
    <w:rsid w:val="00C93DFD"/>
    <w:rsid w:val="00C93EC9"/>
    <w:rsid w:val="00C94020"/>
    <w:rsid w:val="00C9481D"/>
    <w:rsid w:val="00C948E7"/>
    <w:rsid w:val="00C9550B"/>
    <w:rsid w:val="00C95D79"/>
    <w:rsid w:val="00C9674A"/>
    <w:rsid w:val="00C967A6"/>
    <w:rsid w:val="00C971D3"/>
    <w:rsid w:val="00C977B6"/>
    <w:rsid w:val="00CA13CE"/>
    <w:rsid w:val="00CA2381"/>
    <w:rsid w:val="00CA2BFC"/>
    <w:rsid w:val="00CA4F4E"/>
    <w:rsid w:val="00CA51DC"/>
    <w:rsid w:val="00CA5BD0"/>
    <w:rsid w:val="00CA796E"/>
    <w:rsid w:val="00CA79CA"/>
    <w:rsid w:val="00CB1233"/>
    <w:rsid w:val="00CB271D"/>
    <w:rsid w:val="00CB319C"/>
    <w:rsid w:val="00CB6034"/>
    <w:rsid w:val="00CB7DF1"/>
    <w:rsid w:val="00CC0CD7"/>
    <w:rsid w:val="00CC1693"/>
    <w:rsid w:val="00CC243D"/>
    <w:rsid w:val="00CC33EE"/>
    <w:rsid w:val="00CC386B"/>
    <w:rsid w:val="00CC4378"/>
    <w:rsid w:val="00CC4887"/>
    <w:rsid w:val="00CC546A"/>
    <w:rsid w:val="00CD0455"/>
    <w:rsid w:val="00CD2BCF"/>
    <w:rsid w:val="00CD4137"/>
    <w:rsid w:val="00CD6485"/>
    <w:rsid w:val="00CD659A"/>
    <w:rsid w:val="00CE0D6F"/>
    <w:rsid w:val="00CE1A30"/>
    <w:rsid w:val="00CE3287"/>
    <w:rsid w:val="00CE349A"/>
    <w:rsid w:val="00CE3846"/>
    <w:rsid w:val="00CE40D2"/>
    <w:rsid w:val="00CE494C"/>
    <w:rsid w:val="00CE53B8"/>
    <w:rsid w:val="00CE5A7D"/>
    <w:rsid w:val="00CE6968"/>
    <w:rsid w:val="00CE7996"/>
    <w:rsid w:val="00CF111A"/>
    <w:rsid w:val="00CF132D"/>
    <w:rsid w:val="00CF34C7"/>
    <w:rsid w:val="00CF3F85"/>
    <w:rsid w:val="00CF3FAD"/>
    <w:rsid w:val="00CF4170"/>
    <w:rsid w:val="00CF43CD"/>
    <w:rsid w:val="00CF5857"/>
    <w:rsid w:val="00CF5ECE"/>
    <w:rsid w:val="00CF6CE5"/>
    <w:rsid w:val="00D009F4"/>
    <w:rsid w:val="00D02DEB"/>
    <w:rsid w:val="00D04501"/>
    <w:rsid w:val="00D05426"/>
    <w:rsid w:val="00D05D4E"/>
    <w:rsid w:val="00D06522"/>
    <w:rsid w:val="00D06717"/>
    <w:rsid w:val="00D10184"/>
    <w:rsid w:val="00D148BF"/>
    <w:rsid w:val="00D148C7"/>
    <w:rsid w:val="00D162BF"/>
    <w:rsid w:val="00D1647A"/>
    <w:rsid w:val="00D168FE"/>
    <w:rsid w:val="00D2008D"/>
    <w:rsid w:val="00D21A33"/>
    <w:rsid w:val="00D24664"/>
    <w:rsid w:val="00D251AA"/>
    <w:rsid w:val="00D264C5"/>
    <w:rsid w:val="00D26521"/>
    <w:rsid w:val="00D26CC6"/>
    <w:rsid w:val="00D26D1B"/>
    <w:rsid w:val="00D313C4"/>
    <w:rsid w:val="00D33F51"/>
    <w:rsid w:val="00D37002"/>
    <w:rsid w:val="00D377FA"/>
    <w:rsid w:val="00D40EB6"/>
    <w:rsid w:val="00D41BFF"/>
    <w:rsid w:val="00D420E8"/>
    <w:rsid w:val="00D42F86"/>
    <w:rsid w:val="00D44DF9"/>
    <w:rsid w:val="00D45EED"/>
    <w:rsid w:val="00D4682D"/>
    <w:rsid w:val="00D47927"/>
    <w:rsid w:val="00D50495"/>
    <w:rsid w:val="00D506B6"/>
    <w:rsid w:val="00D50841"/>
    <w:rsid w:val="00D5089F"/>
    <w:rsid w:val="00D50B00"/>
    <w:rsid w:val="00D51521"/>
    <w:rsid w:val="00D51B83"/>
    <w:rsid w:val="00D5392F"/>
    <w:rsid w:val="00D54CDA"/>
    <w:rsid w:val="00D5784B"/>
    <w:rsid w:val="00D60B7F"/>
    <w:rsid w:val="00D64A56"/>
    <w:rsid w:val="00D65410"/>
    <w:rsid w:val="00D67F7A"/>
    <w:rsid w:val="00D713BC"/>
    <w:rsid w:val="00D716AC"/>
    <w:rsid w:val="00D717E8"/>
    <w:rsid w:val="00D72CC0"/>
    <w:rsid w:val="00D73487"/>
    <w:rsid w:val="00D7458B"/>
    <w:rsid w:val="00D765F0"/>
    <w:rsid w:val="00D772A6"/>
    <w:rsid w:val="00D8026D"/>
    <w:rsid w:val="00D8027B"/>
    <w:rsid w:val="00D8041C"/>
    <w:rsid w:val="00D80507"/>
    <w:rsid w:val="00D81EE8"/>
    <w:rsid w:val="00D82BE7"/>
    <w:rsid w:val="00D833E2"/>
    <w:rsid w:val="00D855FA"/>
    <w:rsid w:val="00D86EE4"/>
    <w:rsid w:val="00D90778"/>
    <w:rsid w:val="00D92006"/>
    <w:rsid w:val="00D926E3"/>
    <w:rsid w:val="00D94596"/>
    <w:rsid w:val="00D94911"/>
    <w:rsid w:val="00D94D1D"/>
    <w:rsid w:val="00D94E80"/>
    <w:rsid w:val="00D95076"/>
    <w:rsid w:val="00D95F85"/>
    <w:rsid w:val="00D96059"/>
    <w:rsid w:val="00D9625C"/>
    <w:rsid w:val="00D9644D"/>
    <w:rsid w:val="00D96890"/>
    <w:rsid w:val="00D97179"/>
    <w:rsid w:val="00D9733A"/>
    <w:rsid w:val="00D973F8"/>
    <w:rsid w:val="00D975CA"/>
    <w:rsid w:val="00DA0191"/>
    <w:rsid w:val="00DA195C"/>
    <w:rsid w:val="00DA53A1"/>
    <w:rsid w:val="00DA58D7"/>
    <w:rsid w:val="00DA5C0E"/>
    <w:rsid w:val="00DA5CB5"/>
    <w:rsid w:val="00DA6333"/>
    <w:rsid w:val="00DA6A07"/>
    <w:rsid w:val="00DA6F3B"/>
    <w:rsid w:val="00DB0363"/>
    <w:rsid w:val="00DB04D2"/>
    <w:rsid w:val="00DB096E"/>
    <w:rsid w:val="00DB0A74"/>
    <w:rsid w:val="00DB0C4D"/>
    <w:rsid w:val="00DB1A33"/>
    <w:rsid w:val="00DB3CD4"/>
    <w:rsid w:val="00DB3F49"/>
    <w:rsid w:val="00DB5024"/>
    <w:rsid w:val="00DB511C"/>
    <w:rsid w:val="00DB5642"/>
    <w:rsid w:val="00DB580E"/>
    <w:rsid w:val="00DB5A53"/>
    <w:rsid w:val="00DB6325"/>
    <w:rsid w:val="00DB7A69"/>
    <w:rsid w:val="00DC1C79"/>
    <w:rsid w:val="00DC2B5B"/>
    <w:rsid w:val="00DC2D81"/>
    <w:rsid w:val="00DC2DDB"/>
    <w:rsid w:val="00DC3BF5"/>
    <w:rsid w:val="00DC401E"/>
    <w:rsid w:val="00DC41D1"/>
    <w:rsid w:val="00DC63E3"/>
    <w:rsid w:val="00DC6CC5"/>
    <w:rsid w:val="00DC7C8B"/>
    <w:rsid w:val="00DD0748"/>
    <w:rsid w:val="00DD0B50"/>
    <w:rsid w:val="00DD129E"/>
    <w:rsid w:val="00DD203A"/>
    <w:rsid w:val="00DD2C52"/>
    <w:rsid w:val="00DD3AF4"/>
    <w:rsid w:val="00DD50EB"/>
    <w:rsid w:val="00DD712A"/>
    <w:rsid w:val="00DE0B25"/>
    <w:rsid w:val="00DE3A1E"/>
    <w:rsid w:val="00DE3AAD"/>
    <w:rsid w:val="00DE4631"/>
    <w:rsid w:val="00DE5584"/>
    <w:rsid w:val="00DE6071"/>
    <w:rsid w:val="00DE68E4"/>
    <w:rsid w:val="00DE6D4E"/>
    <w:rsid w:val="00DE7C62"/>
    <w:rsid w:val="00DF140E"/>
    <w:rsid w:val="00DF2EB0"/>
    <w:rsid w:val="00DF4597"/>
    <w:rsid w:val="00DF4D3D"/>
    <w:rsid w:val="00DF6449"/>
    <w:rsid w:val="00DF6C5D"/>
    <w:rsid w:val="00DF6D81"/>
    <w:rsid w:val="00DF6E08"/>
    <w:rsid w:val="00E01A05"/>
    <w:rsid w:val="00E023A2"/>
    <w:rsid w:val="00E02CDA"/>
    <w:rsid w:val="00E03788"/>
    <w:rsid w:val="00E07228"/>
    <w:rsid w:val="00E07857"/>
    <w:rsid w:val="00E078C9"/>
    <w:rsid w:val="00E079E6"/>
    <w:rsid w:val="00E07D13"/>
    <w:rsid w:val="00E11E92"/>
    <w:rsid w:val="00E15A20"/>
    <w:rsid w:val="00E17E70"/>
    <w:rsid w:val="00E230BF"/>
    <w:rsid w:val="00E23A0E"/>
    <w:rsid w:val="00E25440"/>
    <w:rsid w:val="00E25DE7"/>
    <w:rsid w:val="00E25EBA"/>
    <w:rsid w:val="00E25EEB"/>
    <w:rsid w:val="00E306C1"/>
    <w:rsid w:val="00E30AFB"/>
    <w:rsid w:val="00E32272"/>
    <w:rsid w:val="00E32379"/>
    <w:rsid w:val="00E324E5"/>
    <w:rsid w:val="00E33BBE"/>
    <w:rsid w:val="00E33DAB"/>
    <w:rsid w:val="00E33FC8"/>
    <w:rsid w:val="00E35A2A"/>
    <w:rsid w:val="00E36D06"/>
    <w:rsid w:val="00E4018C"/>
    <w:rsid w:val="00E41E78"/>
    <w:rsid w:val="00E41F12"/>
    <w:rsid w:val="00E4276B"/>
    <w:rsid w:val="00E43772"/>
    <w:rsid w:val="00E4390C"/>
    <w:rsid w:val="00E43C91"/>
    <w:rsid w:val="00E452F8"/>
    <w:rsid w:val="00E466A4"/>
    <w:rsid w:val="00E471E9"/>
    <w:rsid w:val="00E47369"/>
    <w:rsid w:val="00E5229E"/>
    <w:rsid w:val="00E52716"/>
    <w:rsid w:val="00E53A23"/>
    <w:rsid w:val="00E54119"/>
    <w:rsid w:val="00E541F5"/>
    <w:rsid w:val="00E5487B"/>
    <w:rsid w:val="00E54A87"/>
    <w:rsid w:val="00E55338"/>
    <w:rsid w:val="00E55D85"/>
    <w:rsid w:val="00E57EBF"/>
    <w:rsid w:val="00E61454"/>
    <w:rsid w:val="00E614E8"/>
    <w:rsid w:val="00E61913"/>
    <w:rsid w:val="00E62E69"/>
    <w:rsid w:val="00E6351C"/>
    <w:rsid w:val="00E63BC5"/>
    <w:rsid w:val="00E661C0"/>
    <w:rsid w:val="00E66F15"/>
    <w:rsid w:val="00E67704"/>
    <w:rsid w:val="00E67D5E"/>
    <w:rsid w:val="00E70AF5"/>
    <w:rsid w:val="00E7108C"/>
    <w:rsid w:val="00E7180E"/>
    <w:rsid w:val="00E71B7A"/>
    <w:rsid w:val="00E74387"/>
    <w:rsid w:val="00E74583"/>
    <w:rsid w:val="00E7477B"/>
    <w:rsid w:val="00E74E5B"/>
    <w:rsid w:val="00E75A46"/>
    <w:rsid w:val="00E75E66"/>
    <w:rsid w:val="00E767F5"/>
    <w:rsid w:val="00E80293"/>
    <w:rsid w:val="00E83D88"/>
    <w:rsid w:val="00E86288"/>
    <w:rsid w:val="00E9053A"/>
    <w:rsid w:val="00E90BF9"/>
    <w:rsid w:val="00E91175"/>
    <w:rsid w:val="00E919EB"/>
    <w:rsid w:val="00E926F7"/>
    <w:rsid w:val="00E93069"/>
    <w:rsid w:val="00E93365"/>
    <w:rsid w:val="00E93BA3"/>
    <w:rsid w:val="00E95517"/>
    <w:rsid w:val="00E96968"/>
    <w:rsid w:val="00EA176A"/>
    <w:rsid w:val="00EB03EE"/>
    <w:rsid w:val="00EB2283"/>
    <w:rsid w:val="00EB32D1"/>
    <w:rsid w:val="00EB429A"/>
    <w:rsid w:val="00EB4668"/>
    <w:rsid w:val="00EB59F5"/>
    <w:rsid w:val="00EB66B9"/>
    <w:rsid w:val="00EB6FE9"/>
    <w:rsid w:val="00EB7256"/>
    <w:rsid w:val="00EB72BE"/>
    <w:rsid w:val="00EC0313"/>
    <w:rsid w:val="00EC08BA"/>
    <w:rsid w:val="00EC1C77"/>
    <w:rsid w:val="00EC272B"/>
    <w:rsid w:val="00EC40A6"/>
    <w:rsid w:val="00EC44EC"/>
    <w:rsid w:val="00EC5A8C"/>
    <w:rsid w:val="00EC60B7"/>
    <w:rsid w:val="00EC6B53"/>
    <w:rsid w:val="00ED022D"/>
    <w:rsid w:val="00ED0515"/>
    <w:rsid w:val="00ED09B1"/>
    <w:rsid w:val="00ED0B4D"/>
    <w:rsid w:val="00ED125C"/>
    <w:rsid w:val="00ED38BD"/>
    <w:rsid w:val="00ED4437"/>
    <w:rsid w:val="00ED4B18"/>
    <w:rsid w:val="00ED505B"/>
    <w:rsid w:val="00ED72F5"/>
    <w:rsid w:val="00EE0A92"/>
    <w:rsid w:val="00EE2043"/>
    <w:rsid w:val="00EE2E12"/>
    <w:rsid w:val="00EE428C"/>
    <w:rsid w:val="00EE4DF6"/>
    <w:rsid w:val="00EE63DB"/>
    <w:rsid w:val="00EE6BA0"/>
    <w:rsid w:val="00EE6D23"/>
    <w:rsid w:val="00EE6F17"/>
    <w:rsid w:val="00EE75DC"/>
    <w:rsid w:val="00EE7C86"/>
    <w:rsid w:val="00EF0554"/>
    <w:rsid w:val="00EF0B25"/>
    <w:rsid w:val="00EF1E91"/>
    <w:rsid w:val="00EF35CA"/>
    <w:rsid w:val="00EF5DEA"/>
    <w:rsid w:val="00F01C75"/>
    <w:rsid w:val="00F04724"/>
    <w:rsid w:val="00F04AC2"/>
    <w:rsid w:val="00F05183"/>
    <w:rsid w:val="00F07134"/>
    <w:rsid w:val="00F105FB"/>
    <w:rsid w:val="00F10DD6"/>
    <w:rsid w:val="00F11D1F"/>
    <w:rsid w:val="00F1258F"/>
    <w:rsid w:val="00F13424"/>
    <w:rsid w:val="00F13CAE"/>
    <w:rsid w:val="00F15186"/>
    <w:rsid w:val="00F158B2"/>
    <w:rsid w:val="00F1761F"/>
    <w:rsid w:val="00F17E9C"/>
    <w:rsid w:val="00F20371"/>
    <w:rsid w:val="00F20617"/>
    <w:rsid w:val="00F21AB9"/>
    <w:rsid w:val="00F21F26"/>
    <w:rsid w:val="00F22A1D"/>
    <w:rsid w:val="00F2425B"/>
    <w:rsid w:val="00F24892"/>
    <w:rsid w:val="00F2691B"/>
    <w:rsid w:val="00F27FF5"/>
    <w:rsid w:val="00F30AB8"/>
    <w:rsid w:val="00F30DF5"/>
    <w:rsid w:val="00F30E7B"/>
    <w:rsid w:val="00F31749"/>
    <w:rsid w:val="00F346BB"/>
    <w:rsid w:val="00F3478C"/>
    <w:rsid w:val="00F3654D"/>
    <w:rsid w:val="00F36AF7"/>
    <w:rsid w:val="00F36B0D"/>
    <w:rsid w:val="00F36BD6"/>
    <w:rsid w:val="00F407B3"/>
    <w:rsid w:val="00F41E2F"/>
    <w:rsid w:val="00F42D5E"/>
    <w:rsid w:val="00F42E72"/>
    <w:rsid w:val="00F43394"/>
    <w:rsid w:val="00F43E8A"/>
    <w:rsid w:val="00F46064"/>
    <w:rsid w:val="00F46260"/>
    <w:rsid w:val="00F463E5"/>
    <w:rsid w:val="00F46C78"/>
    <w:rsid w:val="00F47183"/>
    <w:rsid w:val="00F50CB8"/>
    <w:rsid w:val="00F51897"/>
    <w:rsid w:val="00F52BA1"/>
    <w:rsid w:val="00F53499"/>
    <w:rsid w:val="00F534EB"/>
    <w:rsid w:val="00F556F2"/>
    <w:rsid w:val="00F56806"/>
    <w:rsid w:val="00F56B7C"/>
    <w:rsid w:val="00F60725"/>
    <w:rsid w:val="00F61839"/>
    <w:rsid w:val="00F61B64"/>
    <w:rsid w:val="00F61BDA"/>
    <w:rsid w:val="00F62F5E"/>
    <w:rsid w:val="00F65F46"/>
    <w:rsid w:val="00F7070F"/>
    <w:rsid w:val="00F7096E"/>
    <w:rsid w:val="00F70FFB"/>
    <w:rsid w:val="00F72E73"/>
    <w:rsid w:val="00F72F3C"/>
    <w:rsid w:val="00F73097"/>
    <w:rsid w:val="00F73867"/>
    <w:rsid w:val="00F73CF3"/>
    <w:rsid w:val="00F75203"/>
    <w:rsid w:val="00F75C34"/>
    <w:rsid w:val="00F75EC0"/>
    <w:rsid w:val="00F819FD"/>
    <w:rsid w:val="00F82B78"/>
    <w:rsid w:val="00F837D0"/>
    <w:rsid w:val="00F840E2"/>
    <w:rsid w:val="00F84288"/>
    <w:rsid w:val="00F844AB"/>
    <w:rsid w:val="00F90204"/>
    <w:rsid w:val="00F90664"/>
    <w:rsid w:val="00F90AB2"/>
    <w:rsid w:val="00F914EF"/>
    <w:rsid w:val="00F91D5E"/>
    <w:rsid w:val="00F949B0"/>
    <w:rsid w:val="00F952E5"/>
    <w:rsid w:val="00F956B9"/>
    <w:rsid w:val="00F958D5"/>
    <w:rsid w:val="00F95D60"/>
    <w:rsid w:val="00F9631F"/>
    <w:rsid w:val="00F96B91"/>
    <w:rsid w:val="00FA1121"/>
    <w:rsid w:val="00FA42EB"/>
    <w:rsid w:val="00FA4822"/>
    <w:rsid w:val="00FA5F1C"/>
    <w:rsid w:val="00FA6B65"/>
    <w:rsid w:val="00FA7568"/>
    <w:rsid w:val="00FB00C3"/>
    <w:rsid w:val="00FB0545"/>
    <w:rsid w:val="00FB0B3A"/>
    <w:rsid w:val="00FB25A8"/>
    <w:rsid w:val="00FB494B"/>
    <w:rsid w:val="00FB5040"/>
    <w:rsid w:val="00FB5760"/>
    <w:rsid w:val="00FB6BC6"/>
    <w:rsid w:val="00FB74CB"/>
    <w:rsid w:val="00FB7F89"/>
    <w:rsid w:val="00FC0615"/>
    <w:rsid w:val="00FC065A"/>
    <w:rsid w:val="00FC153B"/>
    <w:rsid w:val="00FC24EF"/>
    <w:rsid w:val="00FC26E7"/>
    <w:rsid w:val="00FC2835"/>
    <w:rsid w:val="00FC2B21"/>
    <w:rsid w:val="00FC2C73"/>
    <w:rsid w:val="00FC42A1"/>
    <w:rsid w:val="00FC4810"/>
    <w:rsid w:val="00FC5314"/>
    <w:rsid w:val="00FC55A6"/>
    <w:rsid w:val="00FC6BD5"/>
    <w:rsid w:val="00FC73ED"/>
    <w:rsid w:val="00FC7AE0"/>
    <w:rsid w:val="00FD08D6"/>
    <w:rsid w:val="00FD2717"/>
    <w:rsid w:val="00FD3C2A"/>
    <w:rsid w:val="00FD4234"/>
    <w:rsid w:val="00FD583F"/>
    <w:rsid w:val="00FD6C4F"/>
    <w:rsid w:val="00FD7D6A"/>
    <w:rsid w:val="00FE1BB0"/>
    <w:rsid w:val="00FE4BB6"/>
    <w:rsid w:val="00FE5073"/>
    <w:rsid w:val="00FE5C48"/>
    <w:rsid w:val="00FE5C7E"/>
    <w:rsid w:val="00FE651E"/>
    <w:rsid w:val="00FE7D9D"/>
    <w:rsid w:val="00FF6CE6"/>
    <w:rsid w:val="012A76FB"/>
    <w:rsid w:val="021C5984"/>
    <w:rsid w:val="022CEE2D"/>
    <w:rsid w:val="026EA97E"/>
    <w:rsid w:val="03233E1C"/>
    <w:rsid w:val="03A8B96F"/>
    <w:rsid w:val="03EF02CD"/>
    <w:rsid w:val="044C9257"/>
    <w:rsid w:val="04CE6F51"/>
    <w:rsid w:val="05E975CC"/>
    <w:rsid w:val="0603C9C0"/>
    <w:rsid w:val="066F5CD7"/>
    <w:rsid w:val="073C0539"/>
    <w:rsid w:val="079F0602"/>
    <w:rsid w:val="07C55B9F"/>
    <w:rsid w:val="085A3A21"/>
    <w:rsid w:val="089E1561"/>
    <w:rsid w:val="08A403CC"/>
    <w:rsid w:val="08B74179"/>
    <w:rsid w:val="08F80A83"/>
    <w:rsid w:val="09140E69"/>
    <w:rsid w:val="0917FB13"/>
    <w:rsid w:val="094AC62A"/>
    <w:rsid w:val="095BFC37"/>
    <w:rsid w:val="09927FA0"/>
    <w:rsid w:val="0B9401C9"/>
    <w:rsid w:val="0D4B7E24"/>
    <w:rsid w:val="0D7DF1C1"/>
    <w:rsid w:val="0E8B8281"/>
    <w:rsid w:val="0EB994F0"/>
    <w:rsid w:val="0F4317E6"/>
    <w:rsid w:val="11230CF8"/>
    <w:rsid w:val="119A1345"/>
    <w:rsid w:val="11E3A0B3"/>
    <w:rsid w:val="12BEDD59"/>
    <w:rsid w:val="12CFE65A"/>
    <w:rsid w:val="12D854FD"/>
    <w:rsid w:val="1387E48A"/>
    <w:rsid w:val="13AB361D"/>
    <w:rsid w:val="14C97065"/>
    <w:rsid w:val="150D3864"/>
    <w:rsid w:val="1657DA4B"/>
    <w:rsid w:val="1687423A"/>
    <w:rsid w:val="17647537"/>
    <w:rsid w:val="19DAAF6F"/>
    <w:rsid w:val="19E8C8E3"/>
    <w:rsid w:val="1A7DA4CC"/>
    <w:rsid w:val="1B20BAF6"/>
    <w:rsid w:val="1BE9A8FC"/>
    <w:rsid w:val="1C5EDA51"/>
    <w:rsid w:val="1C902CA5"/>
    <w:rsid w:val="1CE61E48"/>
    <w:rsid w:val="1E681798"/>
    <w:rsid w:val="1EABF2D8"/>
    <w:rsid w:val="1F065BF4"/>
    <w:rsid w:val="1F5C2818"/>
    <w:rsid w:val="1F9EF3F8"/>
    <w:rsid w:val="2143DFD4"/>
    <w:rsid w:val="215AC102"/>
    <w:rsid w:val="215EB279"/>
    <w:rsid w:val="2228061F"/>
    <w:rsid w:val="225D79D0"/>
    <w:rsid w:val="22EFBD17"/>
    <w:rsid w:val="23D27709"/>
    <w:rsid w:val="2478E43D"/>
    <w:rsid w:val="247B4EC0"/>
    <w:rsid w:val="2606AA39"/>
    <w:rsid w:val="268FF966"/>
    <w:rsid w:val="26B34676"/>
    <w:rsid w:val="2753E52F"/>
    <w:rsid w:val="27C32E3A"/>
    <w:rsid w:val="28050919"/>
    <w:rsid w:val="28FF723D"/>
    <w:rsid w:val="2907C788"/>
    <w:rsid w:val="290E1C14"/>
    <w:rsid w:val="297EEF2B"/>
    <w:rsid w:val="2A7B7018"/>
    <w:rsid w:val="2B0B8231"/>
    <w:rsid w:val="2B2913A4"/>
    <w:rsid w:val="2B5BD11D"/>
    <w:rsid w:val="2C099BF4"/>
    <w:rsid w:val="2C297049"/>
    <w:rsid w:val="2C4D3A1A"/>
    <w:rsid w:val="2CA24A8E"/>
    <w:rsid w:val="2CCB4BB5"/>
    <w:rsid w:val="2CE5E0B7"/>
    <w:rsid w:val="2E2DF262"/>
    <w:rsid w:val="2E652EBC"/>
    <w:rsid w:val="2F3FBDAF"/>
    <w:rsid w:val="2FD9EB50"/>
    <w:rsid w:val="3046F22B"/>
    <w:rsid w:val="30827FA9"/>
    <w:rsid w:val="3179192A"/>
    <w:rsid w:val="31ADD83E"/>
    <w:rsid w:val="31B71D1E"/>
    <w:rsid w:val="31D5E86B"/>
    <w:rsid w:val="32F4A60A"/>
    <w:rsid w:val="33408D65"/>
    <w:rsid w:val="3371498D"/>
    <w:rsid w:val="347639F0"/>
    <w:rsid w:val="34AB54B3"/>
    <w:rsid w:val="351B2008"/>
    <w:rsid w:val="355E0D48"/>
    <w:rsid w:val="357C4BD8"/>
    <w:rsid w:val="366C296D"/>
    <w:rsid w:val="3722E1FC"/>
    <w:rsid w:val="37DB79EC"/>
    <w:rsid w:val="37EBC336"/>
    <w:rsid w:val="3813FE88"/>
    <w:rsid w:val="389379A9"/>
    <w:rsid w:val="38A31174"/>
    <w:rsid w:val="38BEB25D"/>
    <w:rsid w:val="39AFCEE9"/>
    <w:rsid w:val="3A61D02B"/>
    <w:rsid w:val="3BAC964D"/>
    <w:rsid w:val="3C780AF0"/>
    <w:rsid w:val="3CE2E943"/>
    <w:rsid w:val="3DD8FFCF"/>
    <w:rsid w:val="3E64C9D8"/>
    <w:rsid w:val="3EE11919"/>
    <w:rsid w:val="3FA08A44"/>
    <w:rsid w:val="401F106D"/>
    <w:rsid w:val="40C86FAF"/>
    <w:rsid w:val="4101CA5F"/>
    <w:rsid w:val="41A1B871"/>
    <w:rsid w:val="41D2E358"/>
    <w:rsid w:val="41F0F976"/>
    <w:rsid w:val="42241DB6"/>
    <w:rsid w:val="43318418"/>
    <w:rsid w:val="43400C60"/>
    <w:rsid w:val="45D53B82"/>
    <w:rsid w:val="45F371C3"/>
    <w:rsid w:val="4651F922"/>
    <w:rsid w:val="4681320D"/>
    <w:rsid w:val="472620A7"/>
    <w:rsid w:val="47742CD9"/>
    <w:rsid w:val="4826478C"/>
    <w:rsid w:val="4872C7E2"/>
    <w:rsid w:val="4B874FBD"/>
    <w:rsid w:val="4BAB58A8"/>
    <w:rsid w:val="4C590054"/>
    <w:rsid w:val="4C61920C"/>
    <w:rsid w:val="4D305273"/>
    <w:rsid w:val="4D8ADE9B"/>
    <w:rsid w:val="4E2C3F10"/>
    <w:rsid w:val="4E35186D"/>
    <w:rsid w:val="4E9818C6"/>
    <w:rsid w:val="4ECC22D4"/>
    <w:rsid w:val="4F281711"/>
    <w:rsid w:val="5023F960"/>
    <w:rsid w:val="502D14DB"/>
    <w:rsid w:val="508B82EF"/>
    <w:rsid w:val="508E4A62"/>
    <w:rsid w:val="50C3E772"/>
    <w:rsid w:val="516622C1"/>
    <w:rsid w:val="516859DB"/>
    <w:rsid w:val="525FB7D3"/>
    <w:rsid w:val="530AACCC"/>
    <w:rsid w:val="534B8D40"/>
    <w:rsid w:val="539F93F7"/>
    <w:rsid w:val="53E0961B"/>
    <w:rsid w:val="54BE30A6"/>
    <w:rsid w:val="550C312F"/>
    <w:rsid w:val="551E7C7C"/>
    <w:rsid w:val="575D6FA5"/>
    <w:rsid w:val="5763013C"/>
    <w:rsid w:val="57D1519B"/>
    <w:rsid w:val="58695760"/>
    <w:rsid w:val="58B0D8CC"/>
    <w:rsid w:val="5938B754"/>
    <w:rsid w:val="593E0403"/>
    <w:rsid w:val="59410710"/>
    <w:rsid w:val="5A05C4C8"/>
    <w:rsid w:val="5A23F13C"/>
    <w:rsid w:val="5B06A00E"/>
    <w:rsid w:val="5C953E28"/>
    <w:rsid w:val="5C9A501A"/>
    <w:rsid w:val="5D25EF08"/>
    <w:rsid w:val="5E069555"/>
    <w:rsid w:val="5E4A4612"/>
    <w:rsid w:val="5E5DC2F0"/>
    <w:rsid w:val="5E8E3FE7"/>
    <w:rsid w:val="5EEA3424"/>
    <w:rsid w:val="5FE0FE88"/>
    <w:rsid w:val="5FE61673"/>
    <w:rsid w:val="606BC339"/>
    <w:rsid w:val="60860485"/>
    <w:rsid w:val="6125F297"/>
    <w:rsid w:val="6181E6D4"/>
    <w:rsid w:val="61B40E5A"/>
    <w:rsid w:val="6243C5DD"/>
    <w:rsid w:val="624C7488"/>
    <w:rsid w:val="62C1C2F8"/>
    <w:rsid w:val="64A8B166"/>
    <w:rsid w:val="64F9FB7A"/>
    <w:rsid w:val="651BA001"/>
    <w:rsid w:val="65F818AA"/>
    <w:rsid w:val="666FB134"/>
    <w:rsid w:val="6709A09A"/>
    <w:rsid w:val="673DB6C6"/>
    <w:rsid w:val="6795341B"/>
    <w:rsid w:val="67A09BEE"/>
    <w:rsid w:val="67B03117"/>
    <w:rsid w:val="68346339"/>
    <w:rsid w:val="6AD83CB0"/>
    <w:rsid w:val="6B8F03A6"/>
    <w:rsid w:val="6C149E87"/>
    <w:rsid w:val="6C845D51"/>
    <w:rsid w:val="6DB06EE8"/>
    <w:rsid w:val="6F3316EC"/>
    <w:rsid w:val="6F5F0DB7"/>
    <w:rsid w:val="6FCC6AA8"/>
    <w:rsid w:val="7079608F"/>
    <w:rsid w:val="70D63D5B"/>
    <w:rsid w:val="711CF853"/>
    <w:rsid w:val="721E6374"/>
    <w:rsid w:val="72326C8E"/>
    <w:rsid w:val="7327A2EE"/>
    <w:rsid w:val="73F5A75F"/>
    <w:rsid w:val="74627C4C"/>
    <w:rsid w:val="7469E4CC"/>
    <w:rsid w:val="75FA71E7"/>
    <w:rsid w:val="77B1FA5B"/>
    <w:rsid w:val="786ED87A"/>
    <w:rsid w:val="7A80315F"/>
    <w:rsid w:val="7A8138B1"/>
    <w:rsid w:val="7AA62114"/>
    <w:rsid w:val="7B35D06E"/>
    <w:rsid w:val="7B7D5713"/>
    <w:rsid w:val="7B82AAFD"/>
    <w:rsid w:val="7BD2AE03"/>
    <w:rsid w:val="7C19877A"/>
    <w:rsid w:val="7CD29DE9"/>
    <w:rsid w:val="7D0CB2F5"/>
    <w:rsid w:val="7DFF098F"/>
    <w:rsid w:val="7E5C9BFB"/>
    <w:rsid w:val="7E8DEEA0"/>
    <w:rsid w:val="7E9CAFE3"/>
    <w:rsid w:val="7EE0D1FA"/>
    <w:rsid w:val="7EF533FF"/>
    <w:rsid w:val="7F37FFDF"/>
    <w:rsid w:val="7F7A5C8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5DB4"/>
  <w15:docId w15:val="{7ED6898D-F7A0-41E3-B15B-50CA9A8C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C5D"/>
    <w:pPr>
      <w:spacing w:line="240" w:lineRule="auto"/>
    </w:pPr>
    <w:rPr>
      <w:rFonts w:ascii="Calibri" w:hAnsi="Calibri"/>
      <w:sz w:val="22"/>
    </w:rPr>
  </w:style>
  <w:style w:type="paragraph" w:styleId="Nadpis1">
    <w:name w:val="heading 1"/>
    <w:basedOn w:val="Normln"/>
    <w:next w:val="Normln"/>
    <w:link w:val="Nadpis1Char"/>
    <w:uiPriority w:val="9"/>
    <w:qFormat/>
    <w:rsid w:val="00DF6C5D"/>
    <w:pPr>
      <w:keepNext/>
      <w:keepLines/>
      <w:spacing w:before="360" w:after="120"/>
      <w:outlineLvl w:val="0"/>
    </w:pPr>
    <w:rPr>
      <w:rFonts w:eastAsiaTheme="majorEastAsia" w:cstheme="majorBidi"/>
      <w:b/>
      <w:caps/>
      <w:color w:val="4C4C4C"/>
      <w:sz w:val="32"/>
      <w:szCs w:val="40"/>
    </w:rPr>
  </w:style>
  <w:style w:type="paragraph" w:styleId="Nadpis2">
    <w:name w:val="heading 2"/>
    <w:basedOn w:val="Nadpis4"/>
    <w:next w:val="Normln"/>
    <w:link w:val="Nadpis2Char"/>
    <w:uiPriority w:val="9"/>
    <w:unhideWhenUsed/>
    <w:qFormat/>
    <w:rsid w:val="009E4DB3"/>
    <w:pPr>
      <w:outlineLvl w:val="1"/>
    </w:pPr>
  </w:style>
  <w:style w:type="paragraph" w:styleId="Nadpis3">
    <w:name w:val="heading 3"/>
    <w:basedOn w:val="Normln"/>
    <w:next w:val="Normln"/>
    <w:link w:val="Nadpis3Char"/>
    <w:uiPriority w:val="9"/>
    <w:unhideWhenUsed/>
    <w:qFormat/>
    <w:rsid w:val="008F458A"/>
    <w:pPr>
      <w:keepNext/>
      <w:keepLines/>
      <w:outlineLvl w:val="2"/>
    </w:pPr>
    <w:rPr>
      <w:rFonts w:eastAsiaTheme="majorEastAsia" w:cstheme="majorBidi"/>
      <w:b/>
      <w:color w:val="428D96"/>
      <w:sz w:val="32"/>
      <w:szCs w:val="32"/>
    </w:rPr>
  </w:style>
  <w:style w:type="paragraph" w:styleId="Nadpis4">
    <w:name w:val="heading 4"/>
    <w:basedOn w:val="Nadpis1"/>
    <w:next w:val="Normln"/>
    <w:link w:val="Nadpis4Char"/>
    <w:uiPriority w:val="9"/>
    <w:unhideWhenUsed/>
    <w:qFormat/>
    <w:rsid w:val="00CA5BD0"/>
    <w:pPr>
      <w:shd w:val="clear" w:color="auto" w:fill="A2DBE2"/>
      <w:spacing w:after="240"/>
      <w:outlineLvl w:val="3"/>
    </w:pPr>
    <w:rPr>
      <w:caps w:val="0"/>
      <w:sz w:val="24"/>
      <w:szCs w:val="23"/>
    </w:rPr>
  </w:style>
  <w:style w:type="paragraph" w:styleId="Nadpis5">
    <w:name w:val="heading 5"/>
    <w:basedOn w:val="Normln"/>
    <w:next w:val="Normln"/>
    <w:link w:val="Nadpis5Char"/>
    <w:uiPriority w:val="9"/>
    <w:unhideWhenUsed/>
    <w:qFormat/>
    <w:rsid w:val="00DF4D3D"/>
    <w:pPr>
      <w:keepNext/>
      <w:keepLines/>
      <w:spacing w:before="80" w:after="0"/>
      <w:outlineLvl w:val="4"/>
    </w:pPr>
    <w:rPr>
      <w:rFonts w:asciiTheme="majorHAnsi" w:eastAsiaTheme="majorEastAsia" w:hAnsiTheme="majorHAnsi" w:cstheme="majorBidi"/>
      <w:color w:val="1C6194"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outlineLvl w:val="5"/>
    </w:pPr>
    <w:rPr>
      <w:rFonts w:asciiTheme="majorHAnsi" w:eastAsiaTheme="majorEastAsia" w:hAnsiTheme="majorHAnsi" w:cstheme="majorBidi"/>
      <w:i/>
      <w:iCs/>
      <w:color w:val="134163"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outlineLvl w:val="6"/>
    </w:pPr>
    <w:rPr>
      <w:rFonts w:asciiTheme="majorHAnsi" w:eastAsiaTheme="majorEastAsia" w:hAnsiTheme="majorHAnsi" w:cstheme="majorBidi"/>
      <w:b/>
      <w:bCs/>
      <w:color w:val="134163" w:themeColor="accent2" w:themeShade="80"/>
      <w:szCs w:val="22"/>
    </w:rPr>
  </w:style>
  <w:style w:type="paragraph" w:styleId="Nadpis8">
    <w:name w:val="heading 8"/>
    <w:basedOn w:val="Normln"/>
    <w:next w:val="Normln"/>
    <w:link w:val="Nadpis8Char"/>
    <w:uiPriority w:val="9"/>
    <w:semiHidden/>
    <w:unhideWhenUsed/>
    <w:qFormat/>
    <w:rsid w:val="00DF4D3D"/>
    <w:pPr>
      <w:keepNext/>
      <w:keepLines/>
      <w:spacing w:before="80" w:after="0"/>
      <w:outlineLvl w:val="7"/>
    </w:pPr>
    <w:rPr>
      <w:rFonts w:asciiTheme="majorHAnsi" w:eastAsiaTheme="majorEastAsia" w:hAnsiTheme="majorHAnsi" w:cstheme="majorBidi"/>
      <w:color w:val="134163" w:themeColor="accent2" w:themeShade="80"/>
      <w:szCs w:val="22"/>
    </w:rPr>
  </w:style>
  <w:style w:type="paragraph" w:styleId="Nadpis9">
    <w:name w:val="heading 9"/>
    <w:basedOn w:val="Normln"/>
    <w:next w:val="Normln"/>
    <w:link w:val="Nadpis9Char"/>
    <w:uiPriority w:val="9"/>
    <w:semiHidden/>
    <w:unhideWhenUsed/>
    <w:qFormat/>
    <w:rsid w:val="00DF4D3D"/>
    <w:pPr>
      <w:keepNext/>
      <w:keepLines/>
      <w:spacing w:before="80" w:after="0"/>
      <w:outlineLvl w:val="8"/>
    </w:pPr>
    <w:rPr>
      <w:rFonts w:asciiTheme="majorHAnsi" w:eastAsiaTheme="majorEastAsia" w:hAnsiTheme="majorHAnsi" w:cstheme="majorBidi"/>
      <w:i/>
      <w:iCs/>
      <w:color w:val="134163" w:themeColor="accent2" w:themeShade="8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6C5D"/>
    <w:rPr>
      <w:rFonts w:ascii="Calibri" w:eastAsiaTheme="majorEastAsia" w:hAnsi="Calibri" w:cstheme="majorBidi"/>
      <w:b/>
      <w:caps/>
      <w:color w:val="4C4C4C"/>
      <w:sz w:val="32"/>
      <w:szCs w:val="40"/>
    </w:rPr>
  </w:style>
  <w:style w:type="character" w:customStyle="1" w:styleId="Nadpis2Char">
    <w:name w:val="Nadpis 2 Char"/>
    <w:basedOn w:val="Standardnpsmoodstavce"/>
    <w:link w:val="Nadpis2"/>
    <w:uiPriority w:val="9"/>
    <w:rsid w:val="009E4DB3"/>
    <w:rPr>
      <w:rFonts w:ascii="Calibri" w:eastAsiaTheme="majorEastAsia" w:hAnsi="Calibri" w:cstheme="majorBidi"/>
      <w:b/>
      <w:color w:val="4C4C4C"/>
      <w:sz w:val="24"/>
      <w:szCs w:val="23"/>
      <w:shd w:val="clear" w:color="auto" w:fill="A2DBE2"/>
    </w:rPr>
  </w:style>
  <w:style w:type="character" w:customStyle="1" w:styleId="Nadpis3Char">
    <w:name w:val="Nadpis 3 Char"/>
    <w:basedOn w:val="Standardnpsmoodstavce"/>
    <w:link w:val="Nadpis3"/>
    <w:uiPriority w:val="9"/>
    <w:rsid w:val="008F458A"/>
    <w:rPr>
      <w:rFonts w:ascii="Calibri" w:eastAsiaTheme="majorEastAsia" w:hAnsi="Calibri" w:cstheme="majorBidi"/>
      <w:b/>
      <w:color w:val="428D96"/>
      <w:sz w:val="32"/>
      <w:szCs w:val="32"/>
    </w:rPr>
  </w:style>
  <w:style w:type="character" w:customStyle="1" w:styleId="Nadpis4Char">
    <w:name w:val="Nadpis 4 Char"/>
    <w:basedOn w:val="Standardnpsmoodstavce"/>
    <w:link w:val="Nadpis4"/>
    <w:uiPriority w:val="9"/>
    <w:rsid w:val="00CA5BD0"/>
    <w:rPr>
      <w:rFonts w:ascii="Calibri" w:eastAsiaTheme="majorEastAsia" w:hAnsi="Calibri" w:cstheme="majorBidi"/>
      <w:b/>
      <w:color w:val="4C4C4C"/>
      <w:sz w:val="24"/>
      <w:szCs w:val="23"/>
      <w:shd w:val="clear" w:color="auto" w:fill="A2DBE2"/>
    </w:rPr>
  </w:style>
  <w:style w:type="character" w:customStyle="1" w:styleId="Nadpis5Char">
    <w:name w:val="Nadpis 5 Char"/>
    <w:basedOn w:val="Standardnpsmoodstavce"/>
    <w:link w:val="Nadpis5"/>
    <w:uiPriority w:val="9"/>
    <w:rsid w:val="00DF4D3D"/>
    <w:rPr>
      <w:rFonts w:asciiTheme="majorHAnsi" w:eastAsiaTheme="majorEastAsia" w:hAnsiTheme="majorHAnsi" w:cstheme="majorBidi"/>
      <w:color w:val="1C6194"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134163"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134163"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134163"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134163" w:themeColor="accent2" w:themeShade="80"/>
      <w:sz w:val="22"/>
      <w:szCs w:val="22"/>
    </w:rPr>
  </w:style>
  <w:style w:type="paragraph" w:styleId="Titulek">
    <w:name w:val="caption"/>
    <w:basedOn w:val="Normln"/>
    <w:next w:val="Normln"/>
    <w:uiPriority w:val="35"/>
    <w:semiHidden/>
    <w:unhideWhenUsed/>
    <w:qFormat/>
    <w:rsid w:val="00DF4D3D"/>
    <w:rPr>
      <w:b/>
      <w:bCs/>
      <w:color w:val="404040" w:themeColor="text1" w:themeTint="BF"/>
      <w:sz w:val="16"/>
      <w:szCs w:val="16"/>
    </w:rPr>
  </w:style>
  <w:style w:type="paragraph" w:styleId="Nzev">
    <w:name w:val="Title"/>
    <w:basedOn w:val="Normln"/>
    <w:next w:val="Normln"/>
    <w:link w:val="NzevChar"/>
    <w:uiPriority w:val="10"/>
    <w:qFormat/>
    <w:rsid w:val="00DF4D3D"/>
    <w:pPr>
      <w:spacing w:after="0"/>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DF4D3D"/>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d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2683C6"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2683C6"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unhideWhenUsed/>
    <w:qFormat/>
    <w:rsid w:val="00DF4D3D"/>
    <w:pPr>
      <w:outlineLvl w:val="9"/>
    </w:pPr>
  </w:style>
  <w:style w:type="paragraph" w:styleId="Odstavecseseznamem">
    <w:name w:val="List Paragraph"/>
    <w:aliases w:val="Odstavec cíl se seznamem,nad 1,Nad,Odstavec_muj,Odstavec se seznamem1,Název grafu,Odstavec se seznamem5,Odstavec_muj1,Odstavec_muj2,Odstavec_muj3,Nad1,List Paragraph1,Odstavec_muj4,Nad2,List Paragraph2,Odstavec_muj5,L"/>
    <w:basedOn w:val="Normln"/>
    <w:link w:val="OdstavecseseznamemChar"/>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paragraph" w:customStyle="1" w:styleId="Odstavec">
    <w:name w:val="Odstavec"/>
    <w:basedOn w:val="Normln"/>
    <w:link w:val="OdstavecChar"/>
    <w:qFormat/>
    <w:rsid w:val="00232D96"/>
    <w:pPr>
      <w:numPr>
        <w:numId w:val="1"/>
      </w:numPr>
      <w:spacing w:before="120" w:after="0"/>
      <w:jc w:val="both"/>
    </w:pPr>
    <w:rPr>
      <w:rFonts w:eastAsiaTheme="minorHAnsi"/>
      <w:szCs w:val="22"/>
    </w:rPr>
  </w:style>
  <w:style w:type="character" w:customStyle="1" w:styleId="OdstavecChar">
    <w:name w:val="Odstavec Char"/>
    <w:basedOn w:val="Standardnpsmoodstavce"/>
    <w:link w:val="Odstavec"/>
    <w:rsid w:val="00232D96"/>
    <w:rPr>
      <w:rFonts w:ascii="Calibri" w:eastAsiaTheme="minorHAnsi" w:hAnsi="Calibri"/>
      <w:sz w:val="22"/>
      <w:szCs w:val="22"/>
    </w:rPr>
  </w:style>
  <w:style w:type="character" w:customStyle="1" w:styleId="normaltextrun">
    <w:name w:val="normaltextrun"/>
    <w:basedOn w:val="Standardnpsmoodstavce"/>
    <w:rsid w:val="00232D96"/>
  </w:style>
  <w:style w:type="character" w:customStyle="1" w:styleId="contextualspellingandgrammarerror">
    <w:name w:val="contextualspellingandgrammarerror"/>
    <w:basedOn w:val="Standardnpsmoodstavce"/>
    <w:rsid w:val="00232D96"/>
  </w:style>
  <w:style w:type="paragraph" w:customStyle="1" w:styleId="paragraph">
    <w:name w:val="paragraph"/>
    <w:basedOn w:val="Normln"/>
    <w:rsid w:val="00232D96"/>
    <w:pPr>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32D96"/>
    <w:rPr>
      <w:color w:val="F49100" w:themeColor="hyperlink"/>
      <w:u w:val="single"/>
    </w:rPr>
  </w:style>
  <w:style w:type="character" w:customStyle="1" w:styleId="eop">
    <w:name w:val="eop"/>
    <w:basedOn w:val="Standardnpsmoodstavce"/>
    <w:rsid w:val="009F6011"/>
  </w:style>
  <w:style w:type="character" w:customStyle="1" w:styleId="spellingerror">
    <w:name w:val="spellingerror"/>
    <w:basedOn w:val="Standardnpsmoodstavce"/>
    <w:rsid w:val="009F6011"/>
  </w:style>
  <w:style w:type="paragraph" w:styleId="Textbubliny">
    <w:name w:val="Balloon Text"/>
    <w:basedOn w:val="Normln"/>
    <w:link w:val="TextbublinyChar"/>
    <w:uiPriority w:val="99"/>
    <w:semiHidden/>
    <w:unhideWhenUsed/>
    <w:rsid w:val="008437C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37C2"/>
    <w:rPr>
      <w:rFonts w:ascii="Segoe UI" w:hAnsi="Segoe UI" w:cs="Segoe UI"/>
      <w:sz w:val="18"/>
      <w:szCs w:val="18"/>
    </w:rPr>
  </w:style>
  <w:style w:type="paragraph" w:customStyle="1" w:styleId="Default">
    <w:name w:val="Default"/>
    <w:rsid w:val="00936EA2"/>
    <w:pPr>
      <w:autoSpaceDE w:val="0"/>
      <w:autoSpaceDN w:val="0"/>
      <w:adjustRightInd w:val="0"/>
      <w:spacing w:after="0" w:line="240" w:lineRule="auto"/>
    </w:pPr>
    <w:rPr>
      <w:rFonts w:ascii="Calibri" w:eastAsiaTheme="minorHAnsi" w:hAnsi="Calibri" w:cs="Calibri"/>
      <w:color w:val="000000"/>
      <w:sz w:val="24"/>
      <w:szCs w:val="24"/>
    </w:rPr>
  </w:style>
  <w:style w:type="character" w:styleId="Odkaznakoment">
    <w:name w:val="annotation reference"/>
    <w:basedOn w:val="Standardnpsmoodstavce"/>
    <w:uiPriority w:val="99"/>
    <w:semiHidden/>
    <w:unhideWhenUsed/>
    <w:rsid w:val="006B41A1"/>
    <w:rPr>
      <w:sz w:val="16"/>
      <w:szCs w:val="16"/>
    </w:rPr>
  </w:style>
  <w:style w:type="paragraph" w:styleId="Textkomente">
    <w:name w:val="annotation text"/>
    <w:basedOn w:val="Normln"/>
    <w:link w:val="TextkomenteChar"/>
    <w:uiPriority w:val="99"/>
    <w:unhideWhenUsed/>
    <w:rsid w:val="006B41A1"/>
    <w:rPr>
      <w:rFonts w:eastAsiaTheme="minorHAnsi"/>
      <w:sz w:val="20"/>
      <w:szCs w:val="20"/>
    </w:rPr>
  </w:style>
  <w:style w:type="character" w:customStyle="1" w:styleId="TextkomenteChar">
    <w:name w:val="Text komentáře Char"/>
    <w:basedOn w:val="Standardnpsmoodstavce"/>
    <w:link w:val="Textkomente"/>
    <w:uiPriority w:val="99"/>
    <w:rsid w:val="006B41A1"/>
    <w:rPr>
      <w:rFonts w:eastAsiaTheme="minorHAnsi"/>
      <w:sz w:val="20"/>
      <w:szCs w:val="20"/>
    </w:rPr>
  </w:style>
  <w:style w:type="paragraph" w:styleId="Revize">
    <w:name w:val="Revision"/>
    <w:hidden/>
    <w:uiPriority w:val="99"/>
    <w:semiHidden/>
    <w:rsid w:val="006B41A1"/>
    <w:pPr>
      <w:spacing w:after="0" w:line="240" w:lineRule="auto"/>
    </w:pPr>
  </w:style>
  <w:style w:type="paragraph" w:styleId="Normlnweb">
    <w:name w:val="Normal (Web)"/>
    <w:basedOn w:val="Normln"/>
    <w:uiPriority w:val="99"/>
    <w:unhideWhenUsed/>
    <w:rsid w:val="00182EC6"/>
    <w:pPr>
      <w:spacing w:before="100" w:beforeAutospacing="1" w:after="100" w:afterAutospacing="1"/>
    </w:pPr>
    <w:rPr>
      <w:rFonts w:eastAsiaTheme="minorHAnsi" w:cs="Calibri"/>
      <w:szCs w:val="22"/>
      <w:lang w:eastAsia="cs-CZ"/>
    </w:rPr>
  </w:style>
  <w:style w:type="paragraph" w:styleId="Pedmtkomente">
    <w:name w:val="annotation subject"/>
    <w:basedOn w:val="Textkomente"/>
    <w:next w:val="Textkomente"/>
    <w:link w:val="PedmtkomenteChar"/>
    <w:uiPriority w:val="99"/>
    <w:semiHidden/>
    <w:unhideWhenUsed/>
    <w:rsid w:val="00E41F12"/>
    <w:rPr>
      <w:rFonts w:eastAsiaTheme="minorEastAsia"/>
      <w:b/>
      <w:bCs/>
    </w:rPr>
  </w:style>
  <w:style w:type="character" w:customStyle="1" w:styleId="PedmtkomenteChar">
    <w:name w:val="Předmět komentáře Char"/>
    <w:basedOn w:val="TextkomenteChar"/>
    <w:link w:val="Pedmtkomente"/>
    <w:uiPriority w:val="99"/>
    <w:semiHidden/>
    <w:rsid w:val="00E41F12"/>
    <w:rPr>
      <w:rFonts w:eastAsiaTheme="minorHAnsi"/>
      <w:b/>
      <w:bCs/>
      <w:sz w:val="20"/>
      <w:szCs w:val="20"/>
    </w:rPr>
  </w:style>
  <w:style w:type="character" w:styleId="PromnnHTML">
    <w:name w:val="HTML Variable"/>
    <w:basedOn w:val="Standardnpsmoodstavce"/>
    <w:uiPriority w:val="99"/>
    <w:semiHidden/>
    <w:unhideWhenUsed/>
    <w:rsid w:val="007165DA"/>
    <w:rPr>
      <w:i/>
      <w:iCs/>
    </w:rPr>
  </w:style>
  <w:style w:type="character" w:customStyle="1" w:styleId="Nevyeenzmnka1">
    <w:name w:val="Nevyřešená zmínka1"/>
    <w:basedOn w:val="Standardnpsmoodstavce"/>
    <w:uiPriority w:val="99"/>
    <w:semiHidden/>
    <w:unhideWhenUsed/>
    <w:rsid w:val="00CB271D"/>
    <w:rPr>
      <w:color w:val="605E5C"/>
      <w:shd w:val="clear" w:color="auto" w:fill="E1DFDD"/>
    </w:rPr>
  </w:style>
  <w:style w:type="character" w:styleId="Sledovanodkaz">
    <w:name w:val="FollowedHyperlink"/>
    <w:basedOn w:val="Standardnpsmoodstavce"/>
    <w:uiPriority w:val="99"/>
    <w:semiHidden/>
    <w:unhideWhenUsed/>
    <w:rsid w:val="00020423"/>
    <w:rPr>
      <w:color w:val="739D9B" w:themeColor="followedHyperlink"/>
      <w:u w:val="single"/>
    </w:rPr>
  </w:style>
  <w:style w:type="character" w:customStyle="1" w:styleId="Nevyeenzmnka2">
    <w:name w:val="Nevyřešená zmínka2"/>
    <w:basedOn w:val="Standardnpsmoodstavce"/>
    <w:uiPriority w:val="99"/>
    <w:semiHidden/>
    <w:unhideWhenUsed/>
    <w:rsid w:val="00020423"/>
    <w:rPr>
      <w:color w:val="605E5C"/>
      <w:shd w:val="clear" w:color="auto" w:fill="E1DFDD"/>
    </w:rPr>
  </w:style>
  <w:style w:type="paragraph" w:styleId="Obsah1">
    <w:name w:val="toc 1"/>
    <w:basedOn w:val="Normln"/>
    <w:next w:val="Normln"/>
    <w:autoRedefine/>
    <w:uiPriority w:val="39"/>
    <w:unhideWhenUsed/>
    <w:rsid w:val="00EE428C"/>
    <w:pPr>
      <w:tabs>
        <w:tab w:val="right" w:leader="dot" w:pos="10206"/>
      </w:tabs>
      <w:spacing w:after="100" w:line="259" w:lineRule="auto"/>
    </w:pPr>
    <w:rPr>
      <w:rFonts w:eastAsiaTheme="minorHAnsi"/>
      <w:szCs w:val="22"/>
    </w:rPr>
  </w:style>
  <w:style w:type="paragraph" w:styleId="Obsah2">
    <w:name w:val="toc 2"/>
    <w:basedOn w:val="Normln"/>
    <w:next w:val="Normln"/>
    <w:uiPriority w:val="39"/>
    <w:unhideWhenUsed/>
    <w:rsid w:val="021C5984"/>
    <w:pPr>
      <w:spacing w:after="60"/>
      <w:outlineLvl w:val="1"/>
    </w:pPr>
  </w:style>
  <w:style w:type="paragraph" w:styleId="Obsah3">
    <w:name w:val="toc 3"/>
    <w:basedOn w:val="Normln"/>
    <w:next w:val="Normln"/>
    <w:autoRedefine/>
    <w:uiPriority w:val="39"/>
    <w:unhideWhenUsed/>
    <w:rsid w:val="00020423"/>
    <w:pPr>
      <w:spacing w:after="100" w:line="259" w:lineRule="auto"/>
      <w:ind w:left="440"/>
    </w:pPr>
    <w:rPr>
      <w:rFonts w:eastAsiaTheme="minorHAnsi"/>
      <w:szCs w:val="22"/>
    </w:rPr>
  </w:style>
  <w:style w:type="paragraph" w:styleId="Prosttext">
    <w:name w:val="Plain Text"/>
    <w:basedOn w:val="Normln"/>
    <w:link w:val="ProsttextChar"/>
    <w:uiPriority w:val="99"/>
    <w:semiHidden/>
    <w:unhideWhenUsed/>
    <w:rsid w:val="00020423"/>
    <w:pPr>
      <w:spacing w:after="0"/>
    </w:pPr>
    <w:rPr>
      <w:rFonts w:eastAsiaTheme="minorHAnsi"/>
    </w:rPr>
  </w:style>
  <w:style w:type="character" w:customStyle="1" w:styleId="ProsttextChar">
    <w:name w:val="Prostý text Char"/>
    <w:basedOn w:val="Standardnpsmoodstavce"/>
    <w:link w:val="Prosttext"/>
    <w:uiPriority w:val="99"/>
    <w:semiHidden/>
    <w:rsid w:val="00020423"/>
    <w:rPr>
      <w:rFonts w:ascii="Calibri" w:eastAsiaTheme="minorHAnsi" w:hAnsi="Calibri"/>
      <w:sz w:val="22"/>
    </w:rPr>
  </w:style>
  <w:style w:type="character" w:customStyle="1" w:styleId="OdstavecseseznamemChar">
    <w:name w:val="Odstavec se seznamem Char"/>
    <w:aliases w:val="Odstavec cíl se seznamem Char,nad 1 Char,Nad Char,Odstavec_muj Char,Odstavec se seznamem1 Char,Název grafu Char,Odstavec se seznamem5 Char,Odstavec_muj1 Char,Odstavec_muj2 Char,Odstavec_muj3 Char,Nad1 Char,List Paragraph1 Char"/>
    <w:basedOn w:val="Standardnpsmoodstavce"/>
    <w:link w:val="Odstavecseseznamem"/>
    <w:uiPriority w:val="34"/>
    <w:qFormat/>
    <w:locked/>
    <w:rsid w:val="00CA5BD0"/>
    <w:rPr>
      <w:rFonts w:ascii="Calibri" w:hAnsi="Calibri"/>
      <w:sz w:val="22"/>
    </w:rPr>
  </w:style>
  <w:style w:type="table" w:styleId="Mkatabulky">
    <w:name w:val="Table Grid"/>
    <w:basedOn w:val="Normlntabulka"/>
    <w:uiPriority w:val="39"/>
    <w:rsid w:val="005039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avtabulkasmkou5zvraznn5">
    <w:name w:val="Grid Table 5 Dark Accent 5"/>
    <w:basedOn w:val="Normlntabulka"/>
    <w:uiPriority w:val="50"/>
    <w:rsid w:val="00F83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styleId="Zstupntext">
    <w:name w:val="Placeholder Text"/>
    <w:basedOn w:val="Standardnpsmoodstavce"/>
    <w:uiPriority w:val="99"/>
    <w:semiHidden/>
    <w:rsid w:val="001329D2"/>
    <w:rPr>
      <w:color w:val="666666"/>
    </w:rPr>
  </w:style>
  <w:style w:type="table" w:customStyle="1" w:styleId="NormalGrid">
    <w:name w:val="Normal Grid"/>
    <w:basedOn w:val="Normlntabulka"/>
    <w:uiPriority w:val="39"/>
    <w:rsid w:val="000C6C4F"/>
    <w:pPr>
      <w:spacing w:after="0" w:line="240" w:lineRule="auto"/>
    </w:pPr>
    <w:rPr>
      <w:rFonts w:ascii="Georgia" w:eastAsiaTheme="minorHAnsi"/>
      <w:szCs w:val="22"/>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148">
      <w:bodyDiv w:val="1"/>
      <w:marLeft w:val="0"/>
      <w:marRight w:val="0"/>
      <w:marTop w:val="0"/>
      <w:marBottom w:val="0"/>
      <w:divBdr>
        <w:top w:val="none" w:sz="0" w:space="0" w:color="auto"/>
        <w:left w:val="none" w:sz="0" w:space="0" w:color="auto"/>
        <w:bottom w:val="none" w:sz="0" w:space="0" w:color="auto"/>
        <w:right w:val="none" w:sz="0" w:space="0" w:color="auto"/>
      </w:divBdr>
    </w:div>
    <w:div w:id="42558882">
      <w:bodyDiv w:val="1"/>
      <w:marLeft w:val="0"/>
      <w:marRight w:val="0"/>
      <w:marTop w:val="0"/>
      <w:marBottom w:val="0"/>
      <w:divBdr>
        <w:top w:val="none" w:sz="0" w:space="0" w:color="auto"/>
        <w:left w:val="none" w:sz="0" w:space="0" w:color="auto"/>
        <w:bottom w:val="none" w:sz="0" w:space="0" w:color="auto"/>
        <w:right w:val="none" w:sz="0" w:space="0" w:color="auto"/>
      </w:divBdr>
    </w:div>
    <w:div w:id="67196849">
      <w:bodyDiv w:val="1"/>
      <w:marLeft w:val="0"/>
      <w:marRight w:val="0"/>
      <w:marTop w:val="0"/>
      <w:marBottom w:val="0"/>
      <w:divBdr>
        <w:top w:val="none" w:sz="0" w:space="0" w:color="auto"/>
        <w:left w:val="none" w:sz="0" w:space="0" w:color="auto"/>
        <w:bottom w:val="none" w:sz="0" w:space="0" w:color="auto"/>
        <w:right w:val="none" w:sz="0" w:space="0" w:color="auto"/>
      </w:divBdr>
    </w:div>
    <w:div w:id="80640785">
      <w:bodyDiv w:val="1"/>
      <w:marLeft w:val="0"/>
      <w:marRight w:val="0"/>
      <w:marTop w:val="0"/>
      <w:marBottom w:val="0"/>
      <w:divBdr>
        <w:top w:val="none" w:sz="0" w:space="0" w:color="auto"/>
        <w:left w:val="none" w:sz="0" w:space="0" w:color="auto"/>
        <w:bottom w:val="none" w:sz="0" w:space="0" w:color="auto"/>
        <w:right w:val="none" w:sz="0" w:space="0" w:color="auto"/>
      </w:divBdr>
    </w:div>
    <w:div w:id="95104794">
      <w:bodyDiv w:val="1"/>
      <w:marLeft w:val="0"/>
      <w:marRight w:val="0"/>
      <w:marTop w:val="0"/>
      <w:marBottom w:val="0"/>
      <w:divBdr>
        <w:top w:val="none" w:sz="0" w:space="0" w:color="auto"/>
        <w:left w:val="none" w:sz="0" w:space="0" w:color="auto"/>
        <w:bottom w:val="none" w:sz="0" w:space="0" w:color="auto"/>
        <w:right w:val="none" w:sz="0" w:space="0" w:color="auto"/>
      </w:divBdr>
    </w:div>
    <w:div w:id="172885205">
      <w:bodyDiv w:val="1"/>
      <w:marLeft w:val="0"/>
      <w:marRight w:val="0"/>
      <w:marTop w:val="0"/>
      <w:marBottom w:val="0"/>
      <w:divBdr>
        <w:top w:val="none" w:sz="0" w:space="0" w:color="auto"/>
        <w:left w:val="none" w:sz="0" w:space="0" w:color="auto"/>
        <w:bottom w:val="none" w:sz="0" w:space="0" w:color="auto"/>
        <w:right w:val="none" w:sz="0" w:space="0" w:color="auto"/>
      </w:divBdr>
    </w:div>
    <w:div w:id="178665642">
      <w:bodyDiv w:val="1"/>
      <w:marLeft w:val="0"/>
      <w:marRight w:val="0"/>
      <w:marTop w:val="0"/>
      <w:marBottom w:val="0"/>
      <w:divBdr>
        <w:top w:val="none" w:sz="0" w:space="0" w:color="auto"/>
        <w:left w:val="none" w:sz="0" w:space="0" w:color="auto"/>
        <w:bottom w:val="none" w:sz="0" w:space="0" w:color="auto"/>
        <w:right w:val="none" w:sz="0" w:space="0" w:color="auto"/>
      </w:divBdr>
    </w:div>
    <w:div w:id="188303929">
      <w:bodyDiv w:val="1"/>
      <w:marLeft w:val="0"/>
      <w:marRight w:val="0"/>
      <w:marTop w:val="0"/>
      <w:marBottom w:val="0"/>
      <w:divBdr>
        <w:top w:val="none" w:sz="0" w:space="0" w:color="auto"/>
        <w:left w:val="none" w:sz="0" w:space="0" w:color="auto"/>
        <w:bottom w:val="none" w:sz="0" w:space="0" w:color="auto"/>
        <w:right w:val="none" w:sz="0" w:space="0" w:color="auto"/>
      </w:divBdr>
    </w:div>
    <w:div w:id="188377205">
      <w:bodyDiv w:val="1"/>
      <w:marLeft w:val="0"/>
      <w:marRight w:val="0"/>
      <w:marTop w:val="0"/>
      <w:marBottom w:val="0"/>
      <w:divBdr>
        <w:top w:val="none" w:sz="0" w:space="0" w:color="auto"/>
        <w:left w:val="none" w:sz="0" w:space="0" w:color="auto"/>
        <w:bottom w:val="none" w:sz="0" w:space="0" w:color="auto"/>
        <w:right w:val="none" w:sz="0" w:space="0" w:color="auto"/>
      </w:divBdr>
    </w:div>
    <w:div w:id="204217553">
      <w:bodyDiv w:val="1"/>
      <w:marLeft w:val="0"/>
      <w:marRight w:val="0"/>
      <w:marTop w:val="0"/>
      <w:marBottom w:val="0"/>
      <w:divBdr>
        <w:top w:val="none" w:sz="0" w:space="0" w:color="auto"/>
        <w:left w:val="none" w:sz="0" w:space="0" w:color="auto"/>
        <w:bottom w:val="none" w:sz="0" w:space="0" w:color="auto"/>
        <w:right w:val="none" w:sz="0" w:space="0" w:color="auto"/>
      </w:divBdr>
    </w:div>
    <w:div w:id="215288869">
      <w:bodyDiv w:val="1"/>
      <w:marLeft w:val="0"/>
      <w:marRight w:val="0"/>
      <w:marTop w:val="0"/>
      <w:marBottom w:val="0"/>
      <w:divBdr>
        <w:top w:val="none" w:sz="0" w:space="0" w:color="auto"/>
        <w:left w:val="none" w:sz="0" w:space="0" w:color="auto"/>
        <w:bottom w:val="none" w:sz="0" w:space="0" w:color="auto"/>
        <w:right w:val="none" w:sz="0" w:space="0" w:color="auto"/>
      </w:divBdr>
    </w:div>
    <w:div w:id="224461389">
      <w:bodyDiv w:val="1"/>
      <w:marLeft w:val="0"/>
      <w:marRight w:val="0"/>
      <w:marTop w:val="0"/>
      <w:marBottom w:val="0"/>
      <w:divBdr>
        <w:top w:val="none" w:sz="0" w:space="0" w:color="auto"/>
        <w:left w:val="none" w:sz="0" w:space="0" w:color="auto"/>
        <w:bottom w:val="none" w:sz="0" w:space="0" w:color="auto"/>
        <w:right w:val="none" w:sz="0" w:space="0" w:color="auto"/>
      </w:divBdr>
    </w:div>
    <w:div w:id="225379826">
      <w:bodyDiv w:val="1"/>
      <w:marLeft w:val="0"/>
      <w:marRight w:val="0"/>
      <w:marTop w:val="0"/>
      <w:marBottom w:val="0"/>
      <w:divBdr>
        <w:top w:val="none" w:sz="0" w:space="0" w:color="auto"/>
        <w:left w:val="none" w:sz="0" w:space="0" w:color="auto"/>
        <w:bottom w:val="none" w:sz="0" w:space="0" w:color="auto"/>
        <w:right w:val="none" w:sz="0" w:space="0" w:color="auto"/>
      </w:divBdr>
    </w:div>
    <w:div w:id="239364347">
      <w:bodyDiv w:val="1"/>
      <w:marLeft w:val="0"/>
      <w:marRight w:val="0"/>
      <w:marTop w:val="0"/>
      <w:marBottom w:val="0"/>
      <w:divBdr>
        <w:top w:val="none" w:sz="0" w:space="0" w:color="auto"/>
        <w:left w:val="none" w:sz="0" w:space="0" w:color="auto"/>
        <w:bottom w:val="none" w:sz="0" w:space="0" w:color="auto"/>
        <w:right w:val="none" w:sz="0" w:space="0" w:color="auto"/>
      </w:divBdr>
    </w:div>
    <w:div w:id="312221118">
      <w:bodyDiv w:val="1"/>
      <w:marLeft w:val="0"/>
      <w:marRight w:val="0"/>
      <w:marTop w:val="0"/>
      <w:marBottom w:val="0"/>
      <w:divBdr>
        <w:top w:val="none" w:sz="0" w:space="0" w:color="auto"/>
        <w:left w:val="none" w:sz="0" w:space="0" w:color="auto"/>
        <w:bottom w:val="none" w:sz="0" w:space="0" w:color="auto"/>
        <w:right w:val="none" w:sz="0" w:space="0" w:color="auto"/>
      </w:divBdr>
    </w:div>
    <w:div w:id="326059280">
      <w:bodyDiv w:val="1"/>
      <w:marLeft w:val="0"/>
      <w:marRight w:val="0"/>
      <w:marTop w:val="0"/>
      <w:marBottom w:val="0"/>
      <w:divBdr>
        <w:top w:val="none" w:sz="0" w:space="0" w:color="auto"/>
        <w:left w:val="none" w:sz="0" w:space="0" w:color="auto"/>
        <w:bottom w:val="none" w:sz="0" w:space="0" w:color="auto"/>
        <w:right w:val="none" w:sz="0" w:space="0" w:color="auto"/>
      </w:divBdr>
    </w:div>
    <w:div w:id="332071379">
      <w:bodyDiv w:val="1"/>
      <w:marLeft w:val="0"/>
      <w:marRight w:val="0"/>
      <w:marTop w:val="0"/>
      <w:marBottom w:val="0"/>
      <w:divBdr>
        <w:top w:val="none" w:sz="0" w:space="0" w:color="auto"/>
        <w:left w:val="none" w:sz="0" w:space="0" w:color="auto"/>
        <w:bottom w:val="none" w:sz="0" w:space="0" w:color="auto"/>
        <w:right w:val="none" w:sz="0" w:space="0" w:color="auto"/>
      </w:divBdr>
    </w:div>
    <w:div w:id="439840593">
      <w:bodyDiv w:val="1"/>
      <w:marLeft w:val="0"/>
      <w:marRight w:val="0"/>
      <w:marTop w:val="0"/>
      <w:marBottom w:val="0"/>
      <w:divBdr>
        <w:top w:val="none" w:sz="0" w:space="0" w:color="auto"/>
        <w:left w:val="none" w:sz="0" w:space="0" w:color="auto"/>
        <w:bottom w:val="none" w:sz="0" w:space="0" w:color="auto"/>
        <w:right w:val="none" w:sz="0" w:space="0" w:color="auto"/>
      </w:divBdr>
    </w:div>
    <w:div w:id="457455905">
      <w:bodyDiv w:val="1"/>
      <w:marLeft w:val="0"/>
      <w:marRight w:val="0"/>
      <w:marTop w:val="0"/>
      <w:marBottom w:val="0"/>
      <w:divBdr>
        <w:top w:val="none" w:sz="0" w:space="0" w:color="auto"/>
        <w:left w:val="none" w:sz="0" w:space="0" w:color="auto"/>
        <w:bottom w:val="none" w:sz="0" w:space="0" w:color="auto"/>
        <w:right w:val="none" w:sz="0" w:space="0" w:color="auto"/>
      </w:divBdr>
    </w:div>
    <w:div w:id="462964455">
      <w:bodyDiv w:val="1"/>
      <w:marLeft w:val="0"/>
      <w:marRight w:val="0"/>
      <w:marTop w:val="0"/>
      <w:marBottom w:val="0"/>
      <w:divBdr>
        <w:top w:val="none" w:sz="0" w:space="0" w:color="auto"/>
        <w:left w:val="none" w:sz="0" w:space="0" w:color="auto"/>
        <w:bottom w:val="none" w:sz="0" w:space="0" w:color="auto"/>
        <w:right w:val="none" w:sz="0" w:space="0" w:color="auto"/>
      </w:divBdr>
    </w:div>
    <w:div w:id="472212461">
      <w:bodyDiv w:val="1"/>
      <w:marLeft w:val="0"/>
      <w:marRight w:val="0"/>
      <w:marTop w:val="0"/>
      <w:marBottom w:val="0"/>
      <w:divBdr>
        <w:top w:val="none" w:sz="0" w:space="0" w:color="auto"/>
        <w:left w:val="none" w:sz="0" w:space="0" w:color="auto"/>
        <w:bottom w:val="none" w:sz="0" w:space="0" w:color="auto"/>
        <w:right w:val="none" w:sz="0" w:space="0" w:color="auto"/>
      </w:divBdr>
    </w:div>
    <w:div w:id="494758023">
      <w:bodyDiv w:val="1"/>
      <w:marLeft w:val="0"/>
      <w:marRight w:val="0"/>
      <w:marTop w:val="0"/>
      <w:marBottom w:val="0"/>
      <w:divBdr>
        <w:top w:val="none" w:sz="0" w:space="0" w:color="auto"/>
        <w:left w:val="none" w:sz="0" w:space="0" w:color="auto"/>
        <w:bottom w:val="none" w:sz="0" w:space="0" w:color="auto"/>
        <w:right w:val="none" w:sz="0" w:space="0" w:color="auto"/>
      </w:divBdr>
    </w:div>
    <w:div w:id="509367558">
      <w:bodyDiv w:val="1"/>
      <w:marLeft w:val="0"/>
      <w:marRight w:val="0"/>
      <w:marTop w:val="0"/>
      <w:marBottom w:val="0"/>
      <w:divBdr>
        <w:top w:val="none" w:sz="0" w:space="0" w:color="auto"/>
        <w:left w:val="none" w:sz="0" w:space="0" w:color="auto"/>
        <w:bottom w:val="none" w:sz="0" w:space="0" w:color="auto"/>
        <w:right w:val="none" w:sz="0" w:space="0" w:color="auto"/>
      </w:divBdr>
    </w:div>
    <w:div w:id="530648989">
      <w:bodyDiv w:val="1"/>
      <w:marLeft w:val="0"/>
      <w:marRight w:val="0"/>
      <w:marTop w:val="0"/>
      <w:marBottom w:val="0"/>
      <w:divBdr>
        <w:top w:val="none" w:sz="0" w:space="0" w:color="auto"/>
        <w:left w:val="none" w:sz="0" w:space="0" w:color="auto"/>
        <w:bottom w:val="none" w:sz="0" w:space="0" w:color="auto"/>
        <w:right w:val="none" w:sz="0" w:space="0" w:color="auto"/>
      </w:divBdr>
    </w:div>
    <w:div w:id="554239738">
      <w:bodyDiv w:val="1"/>
      <w:marLeft w:val="0"/>
      <w:marRight w:val="0"/>
      <w:marTop w:val="0"/>
      <w:marBottom w:val="0"/>
      <w:divBdr>
        <w:top w:val="none" w:sz="0" w:space="0" w:color="auto"/>
        <w:left w:val="none" w:sz="0" w:space="0" w:color="auto"/>
        <w:bottom w:val="none" w:sz="0" w:space="0" w:color="auto"/>
        <w:right w:val="none" w:sz="0" w:space="0" w:color="auto"/>
      </w:divBdr>
    </w:div>
    <w:div w:id="560947750">
      <w:bodyDiv w:val="1"/>
      <w:marLeft w:val="0"/>
      <w:marRight w:val="0"/>
      <w:marTop w:val="0"/>
      <w:marBottom w:val="0"/>
      <w:divBdr>
        <w:top w:val="none" w:sz="0" w:space="0" w:color="auto"/>
        <w:left w:val="none" w:sz="0" w:space="0" w:color="auto"/>
        <w:bottom w:val="none" w:sz="0" w:space="0" w:color="auto"/>
        <w:right w:val="none" w:sz="0" w:space="0" w:color="auto"/>
      </w:divBdr>
    </w:div>
    <w:div w:id="581332497">
      <w:bodyDiv w:val="1"/>
      <w:marLeft w:val="0"/>
      <w:marRight w:val="0"/>
      <w:marTop w:val="0"/>
      <w:marBottom w:val="0"/>
      <w:divBdr>
        <w:top w:val="none" w:sz="0" w:space="0" w:color="auto"/>
        <w:left w:val="none" w:sz="0" w:space="0" w:color="auto"/>
        <w:bottom w:val="none" w:sz="0" w:space="0" w:color="auto"/>
        <w:right w:val="none" w:sz="0" w:space="0" w:color="auto"/>
      </w:divBdr>
    </w:div>
    <w:div w:id="585766438">
      <w:bodyDiv w:val="1"/>
      <w:marLeft w:val="0"/>
      <w:marRight w:val="0"/>
      <w:marTop w:val="0"/>
      <w:marBottom w:val="0"/>
      <w:divBdr>
        <w:top w:val="none" w:sz="0" w:space="0" w:color="auto"/>
        <w:left w:val="none" w:sz="0" w:space="0" w:color="auto"/>
        <w:bottom w:val="none" w:sz="0" w:space="0" w:color="auto"/>
        <w:right w:val="none" w:sz="0" w:space="0" w:color="auto"/>
      </w:divBdr>
    </w:div>
    <w:div w:id="609119420">
      <w:bodyDiv w:val="1"/>
      <w:marLeft w:val="0"/>
      <w:marRight w:val="0"/>
      <w:marTop w:val="0"/>
      <w:marBottom w:val="0"/>
      <w:divBdr>
        <w:top w:val="none" w:sz="0" w:space="0" w:color="auto"/>
        <w:left w:val="none" w:sz="0" w:space="0" w:color="auto"/>
        <w:bottom w:val="none" w:sz="0" w:space="0" w:color="auto"/>
        <w:right w:val="none" w:sz="0" w:space="0" w:color="auto"/>
      </w:divBdr>
    </w:div>
    <w:div w:id="619185123">
      <w:bodyDiv w:val="1"/>
      <w:marLeft w:val="0"/>
      <w:marRight w:val="0"/>
      <w:marTop w:val="0"/>
      <w:marBottom w:val="0"/>
      <w:divBdr>
        <w:top w:val="none" w:sz="0" w:space="0" w:color="auto"/>
        <w:left w:val="none" w:sz="0" w:space="0" w:color="auto"/>
        <w:bottom w:val="none" w:sz="0" w:space="0" w:color="auto"/>
        <w:right w:val="none" w:sz="0" w:space="0" w:color="auto"/>
      </w:divBdr>
    </w:div>
    <w:div w:id="631252509">
      <w:bodyDiv w:val="1"/>
      <w:marLeft w:val="0"/>
      <w:marRight w:val="0"/>
      <w:marTop w:val="0"/>
      <w:marBottom w:val="0"/>
      <w:divBdr>
        <w:top w:val="none" w:sz="0" w:space="0" w:color="auto"/>
        <w:left w:val="none" w:sz="0" w:space="0" w:color="auto"/>
        <w:bottom w:val="none" w:sz="0" w:space="0" w:color="auto"/>
        <w:right w:val="none" w:sz="0" w:space="0" w:color="auto"/>
      </w:divBdr>
    </w:div>
    <w:div w:id="665860872">
      <w:bodyDiv w:val="1"/>
      <w:marLeft w:val="0"/>
      <w:marRight w:val="0"/>
      <w:marTop w:val="0"/>
      <w:marBottom w:val="0"/>
      <w:divBdr>
        <w:top w:val="none" w:sz="0" w:space="0" w:color="auto"/>
        <w:left w:val="none" w:sz="0" w:space="0" w:color="auto"/>
        <w:bottom w:val="none" w:sz="0" w:space="0" w:color="auto"/>
        <w:right w:val="none" w:sz="0" w:space="0" w:color="auto"/>
      </w:divBdr>
    </w:div>
    <w:div w:id="671880263">
      <w:bodyDiv w:val="1"/>
      <w:marLeft w:val="0"/>
      <w:marRight w:val="0"/>
      <w:marTop w:val="0"/>
      <w:marBottom w:val="0"/>
      <w:divBdr>
        <w:top w:val="none" w:sz="0" w:space="0" w:color="auto"/>
        <w:left w:val="none" w:sz="0" w:space="0" w:color="auto"/>
        <w:bottom w:val="none" w:sz="0" w:space="0" w:color="auto"/>
        <w:right w:val="none" w:sz="0" w:space="0" w:color="auto"/>
      </w:divBdr>
    </w:div>
    <w:div w:id="675812393">
      <w:bodyDiv w:val="1"/>
      <w:marLeft w:val="0"/>
      <w:marRight w:val="0"/>
      <w:marTop w:val="0"/>
      <w:marBottom w:val="0"/>
      <w:divBdr>
        <w:top w:val="none" w:sz="0" w:space="0" w:color="auto"/>
        <w:left w:val="none" w:sz="0" w:space="0" w:color="auto"/>
        <w:bottom w:val="none" w:sz="0" w:space="0" w:color="auto"/>
        <w:right w:val="none" w:sz="0" w:space="0" w:color="auto"/>
      </w:divBdr>
    </w:div>
    <w:div w:id="677580286">
      <w:bodyDiv w:val="1"/>
      <w:marLeft w:val="0"/>
      <w:marRight w:val="0"/>
      <w:marTop w:val="0"/>
      <w:marBottom w:val="0"/>
      <w:divBdr>
        <w:top w:val="none" w:sz="0" w:space="0" w:color="auto"/>
        <w:left w:val="none" w:sz="0" w:space="0" w:color="auto"/>
        <w:bottom w:val="none" w:sz="0" w:space="0" w:color="auto"/>
        <w:right w:val="none" w:sz="0" w:space="0" w:color="auto"/>
      </w:divBdr>
    </w:div>
    <w:div w:id="693961884">
      <w:bodyDiv w:val="1"/>
      <w:marLeft w:val="0"/>
      <w:marRight w:val="0"/>
      <w:marTop w:val="0"/>
      <w:marBottom w:val="0"/>
      <w:divBdr>
        <w:top w:val="none" w:sz="0" w:space="0" w:color="auto"/>
        <w:left w:val="none" w:sz="0" w:space="0" w:color="auto"/>
        <w:bottom w:val="none" w:sz="0" w:space="0" w:color="auto"/>
        <w:right w:val="none" w:sz="0" w:space="0" w:color="auto"/>
      </w:divBdr>
    </w:div>
    <w:div w:id="715933384">
      <w:bodyDiv w:val="1"/>
      <w:marLeft w:val="0"/>
      <w:marRight w:val="0"/>
      <w:marTop w:val="0"/>
      <w:marBottom w:val="0"/>
      <w:divBdr>
        <w:top w:val="none" w:sz="0" w:space="0" w:color="auto"/>
        <w:left w:val="none" w:sz="0" w:space="0" w:color="auto"/>
        <w:bottom w:val="none" w:sz="0" w:space="0" w:color="auto"/>
        <w:right w:val="none" w:sz="0" w:space="0" w:color="auto"/>
      </w:divBdr>
    </w:div>
    <w:div w:id="729352500">
      <w:bodyDiv w:val="1"/>
      <w:marLeft w:val="0"/>
      <w:marRight w:val="0"/>
      <w:marTop w:val="0"/>
      <w:marBottom w:val="0"/>
      <w:divBdr>
        <w:top w:val="none" w:sz="0" w:space="0" w:color="auto"/>
        <w:left w:val="none" w:sz="0" w:space="0" w:color="auto"/>
        <w:bottom w:val="none" w:sz="0" w:space="0" w:color="auto"/>
        <w:right w:val="none" w:sz="0" w:space="0" w:color="auto"/>
      </w:divBdr>
    </w:div>
    <w:div w:id="743726868">
      <w:bodyDiv w:val="1"/>
      <w:marLeft w:val="0"/>
      <w:marRight w:val="0"/>
      <w:marTop w:val="0"/>
      <w:marBottom w:val="0"/>
      <w:divBdr>
        <w:top w:val="none" w:sz="0" w:space="0" w:color="auto"/>
        <w:left w:val="none" w:sz="0" w:space="0" w:color="auto"/>
        <w:bottom w:val="none" w:sz="0" w:space="0" w:color="auto"/>
        <w:right w:val="none" w:sz="0" w:space="0" w:color="auto"/>
      </w:divBdr>
    </w:div>
    <w:div w:id="760839420">
      <w:bodyDiv w:val="1"/>
      <w:marLeft w:val="0"/>
      <w:marRight w:val="0"/>
      <w:marTop w:val="0"/>
      <w:marBottom w:val="0"/>
      <w:divBdr>
        <w:top w:val="none" w:sz="0" w:space="0" w:color="auto"/>
        <w:left w:val="none" w:sz="0" w:space="0" w:color="auto"/>
        <w:bottom w:val="none" w:sz="0" w:space="0" w:color="auto"/>
        <w:right w:val="none" w:sz="0" w:space="0" w:color="auto"/>
      </w:divBdr>
    </w:div>
    <w:div w:id="761029510">
      <w:bodyDiv w:val="1"/>
      <w:marLeft w:val="0"/>
      <w:marRight w:val="0"/>
      <w:marTop w:val="0"/>
      <w:marBottom w:val="0"/>
      <w:divBdr>
        <w:top w:val="none" w:sz="0" w:space="0" w:color="auto"/>
        <w:left w:val="none" w:sz="0" w:space="0" w:color="auto"/>
        <w:bottom w:val="none" w:sz="0" w:space="0" w:color="auto"/>
        <w:right w:val="none" w:sz="0" w:space="0" w:color="auto"/>
      </w:divBdr>
    </w:div>
    <w:div w:id="777601653">
      <w:bodyDiv w:val="1"/>
      <w:marLeft w:val="0"/>
      <w:marRight w:val="0"/>
      <w:marTop w:val="0"/>
      <w:marBottom w:val="0"/>
      <w:divBdr>
        <w:top w:val="none" w:sz="0" w:space="0" w:color="auto"/>
        <w:left w:val="none" w:sz="0" w:space="0" w:color="auto"/>
        <w:bottom w:val="none" w:sz="0" w:space="0" w:color="auto"/>
        <w:right w:val="none" w:sz="0" w:space="0" w:color="auto"/>
      </w:divBdr>
    </w:div>
    <w:div w:id="785781844">
      <w:bodyDiv w:val="1"/>
      <w:marLeft w:val="0"/>
      <w:marRight w:val="0"/>
      <w:marTop w:val="0"/>
      <w:marBottom w:val="0"/>
      <w:divBdr>
        <w:top w:val="none" w:sz="0" w:space="0" w:color="auto"/>
        <w:left w:val="none" w:sz="0" w:space="0" w:color="auto"/>
        <w:bottom w:val="none" w:sz="0" w:space="0" w:color="auto"/>
        <w:right w:val="none" w:sz="0" w:space="0" w:color="auto"/>
      </w:divBdr>
    </w:div>
    <w:div w:id="793602282">
      <w:bodyDiv w:val="1"/>
      <w:marLeft w:val="0"/>
      <w:marRight w:val="0"/>
      <w:marTop w:val="0"/>
      <w:marBottom w:val="0"/>
      <w:divBdr>
        <w:top w:val="none" w:sz="0" w:space="0" w:color="auto"/>
        <w:left w:val="none" w:sz="0" w:space="0" w:color="auto"/>
        <w:bottom w:val="none" w:sz="0" w:space="0" w:color="auto"/>
        <w:right w:val="none" w:sz="0" w:space="0" w:color="auto"/>
      </w:divBdr>
    </w:div>
    <w:div w:id="801121743">
      <w:bodyDiv w:val="1"/>
      <w:marLeft w:val="0"/>
      <w:marRight w:val="0"/>
      <w:marTop w:val="0"/>
      <w:marBottom w:val="0"/>
      <w:divBdr>
        <w:top w:val="none" w:sz="0" w:space="0" w:color="auto"/>
        <w:left w:val="none" w:sz="0" w:space="0" w:color="auto"/>
        <w:bottom w:val="none" w:sz="0" w:space="0" w:color="auto"/>
        <w:right w:val="none" w:sz="0" w:space="0" w:color="auto"/>
      </w:divBdr>
    </w:div>
    <w:div w:id="804271123">
      <w:bodyDiv w:val="1"/>
      <w:marLeft w:val="0"/>
      <w:marRight w:val="0"/>
      <w:marTop w:val="0"/>
      <w:marBottom w:val="0"/>
      <w:divBdr>
        <w:top w:val="none" w:sz="0" w:space="0" w:color="auto"/>
        <w:left w:val="none" w:sz="0" w:space="0" w:color="auto"/>
        <w:bottom w:val="none" w:sz="0" w:space="0" w:color="auto"/>
        <w:right w:val="none" w:sz="0" w:space="0" w:color="auto"/>
      </w:divBdr>
    </w:div>
    <w:div w:id="845250131">
      <w:bodyDiv w:val="1"/>
      <w:marLeft w:val="0"/>
      <w:marRight w:val="0"/>
      <w:marTop w:val="0"/>
      <w:marBottom w:val="0"/>
      <w:divBdr>
        <w:top w:val="none" w:sz="0" w:space="0" w:color="auto"/>
        <w:left w:val="none" w:sz="0" w:space="0" w:color="auto"/>
        <w:bottom w:val="none" w:sz="0" w:space="0" w:color="auto"/>
        <w:right w:val="none" w:sz="0" w:space="0" w:color="auto"/>
      </w:divBdr>
    </w:div>
    <w:div w:id="893732945">
      <w:bodyDiv w:val="1"/>
      <w:marLeft w:val="0"/>
      <w:marRight w:val="0"/>
      <w:marTop w:val="0"/>
      <w:marBottom w:val="0"/>
      <w:divBdr>
        <w:top w:val="none" w:sz="0" w:space="0" w:color="auto"/>
        <w:left w:val="none" w:sz="0" w:space="0" w:color="auto"/>
        <w:bottom w:val="none" w:sz="0" w:space="0" w:color="auto"/>
        <w:right w:val="none" w:sz="0" w:space="0" w:color="auto"/>
      </w:divBdr>
    </w:div>
    <w:div w:id="906309034">
      <w:bodyDiv w:val="1"/>
      <w:marLeft w:val="0"/>
      <w:marRight w:val="0"/>
      <w:marTop w:val="0"/>
      <w:marBottom w:val="0"/>
      <w:divBdr>
        <w:top w:val="none" w:sz="0" w:space="0" w:color="auto"/>
        <w:left w:val="none" w:sz="0" w:space="0" w:color="auto"/>
        <w:bottom w:val="none" w:sz="0" w:space="0" w:color="auto"/>
        <w:right w:val="none" w:sz="0" w:space="0" w:color="auto"/>
      </w:divBdr>
    </w:div>
    <w:div w:id="917398277">
      <w:bodyDiv w:val="1"/>
      <w:marLeft w:val="0"/>
      <w:marRight w:val="0"/>
      <w:marTop w:val="0"/>
      <w:marBottom w:val="0"/>
      <w:divBdr>
        <w:top w:val="none" w:sz="0" w:space="0" w:color="auto"/>
        <w:left w:val="none" w:sz="0" w:space="0" w:color="auto"/>
        <w:bottom w:val="none" w:sz="0" w:space="0" w:color="auto"/>
        <w:right w:val="none" w:sz="0" w:space="0" w:color="auto"/>
      </w:divBdr>
    </w:div>
    <w:div w:id="958758519">
      <w:bodyDiv w:val="1"/>
      <w:marLeft w:val="0"/>
      <w:marRight w:val="0"/>
      <w:marTop w:val="0"/>
      <w:marBottom w:val="0"/>
      <w:divBdr>
        <w:top w:val="none" w:sz="0" w:space="0" w:color="auto"/>
        <w:left w:val="none" w:sz="0" w:space="0" w:color="auto"/>
        <w:bottom w:val="none" w:sz="0" w:space="0" w:color="auto"/>
        <w:right w:val="none" w:sz="0" w:space="0" w:color="auto"/>
      </w:divBdr>
    </w:div>
    <w:div w:id="966812207">
      <w:bodyDiv w:val="1"/>
      <w:marLeft w:val="0"/>
      <w:marRight w:val="0"/>
      <w:marTop w:val="0"/>
      <w:marBottom w:val="0"/>
      <w:divBdr>
        <w:top w:val="none" w:sz="0" w:space="0" w:color="auto"/>
        <w:left w:val="none" w:sz="0" w:space="0" w:color="auto"/>
        <w:bottom w:val="none" w:sz="0" w:space="0" w:color="auto"/>
        <w:right w:val="none" w:sz="0" w:space="0" w:color="auto"/>
      </w:divBdr>
    </w:div>
    <w:div w:id="1005475806">
      <w:bodyDiv w:val="1"/>
      <w:marLeft w:val="0"/>
      <w:marRight w:val="0"/>
      <w:marTop w:val="0"/>
      <w:marBottom w:val="0"/>
      <w:divBdr>
        <w:top w:val="none" w:sz="0" w:space="0" w:color="auto"/>
        <w:left w:val="none" w:sz="0" w:space="0" w:color="auto"/>
        <w:bottom w:val="none" w:sz="0" w:space="0" w:color="auto"/>
        <w:right w:val="none" w:sz="0" w:space="0" w:color="auto"/>
      </w:divBdr>
    </w:div>
    <w:div w:id="1019044311">
      <w:bodyDiv w:val="1"/>
      <w:marLeft w:val="0"/>
      <w:marRight w:val="0"/>
      <w:marTop w:val="0"/>
      <w:marBottom w:val="0"/>
      <w:divBdr>
        <w:top w:val="none" w:sz="0" w:space="0" w:color="auto"/>
        <w:left w:val="none" w:sz="0" w:space="0" w:color="auto"/>
        <w:bottom w:val="none" w:sz="0" w:space="0" w:color="auto"/>
        <w:right w:val="none" w:sz="0" w:space="0" w:color="auto"/>
      </w:divBdr>
    </w:div>
    <w:div w:id="1032068770">
      <w:bodyDiv w:val="1"/>
      <w:marLeft w:val="0"/>
      <w:marRight w:val="0"/>
      <w:marTop w:val="0"/>
      <w:marBottom w:val="0"/>
      <w:divBdr>
        <w:top w:val="none" w:sz="0" w:space="0" w:color="auto"/>
        <w:left w:val="none" w:sz="0" w:space="0" w:color="auto"/>
        <w:bottom w:val="none" w:sz="0" w:space="0" w:color="auto"/>
        <w:right w:val="none" w:sz="0" w:space="0" w:color="auto"/>
      </w:divBdr>
    </w:div>
    <w:div w:id="1063143964">
      <w:bodyDiv w:val="1"/>
      <w:marLeft w:val="0"/>
      <w:marRight w:val="0"/>
      <w:marTop w:val="0"/>
      <w:marBottom w:val="0"/>
      <w:divBdr>
        <w:top w:val="none" w:sz="0" w:space="0" w:color="auto"/>
        <w:left w:val="none" w:sz="0" w:space="0" w:color="auto"/>
        <w:bottom w:val="none" w:sz="0" w:space="0" w:color="auto"/>
        <w:right w:val="none" w:sz="0" w:space="0" w:color="auto"/>
      </w:divBdr>
    </w:div>
    <w:div w:id="1082605221">
      <w:bodyDiv w:val="1"/>
      <w:marLeft w:val="0"/>
      <w:marRight w:val="0"/>
      <w:marTop w:val="0"/>
      <w:marBottom w:val="0"/>
      <w:divBdr>
        <w:top w:val="none" w:sz="0" w:space="0" w:color="auto"/>
        <w:left w:val="none" w:sz="0" w:space="0" w:color="auto"/>
        <w:bottom w:val="none" w:sz="0" w:space="0" w:color="auto"/>
        <w:right w:val="none" w:sz="0" w:space="0" w:color="auto"/>
      </w:divBdr>
    </w:div>
    <w:div w:id="1101073707">
      <w:bodyDiv w:val="1"/>
      <w:marLeft w:val="0"/>
      <w:marRight w:val="0"/>
      <w:marTop w:val="0"/>
      <w:marBottom w:val="0"/>
      <w:divBdr>
        <w:top w:val="none" w:sz="0" w:space="0" w:color="auto"/>
        <w:left w:val="none" w:sz="0" w:space="0" w:color="auto"/>
        <w:bottom w:val="none" w:sz="0" w:space="0" w:color="auto"/>
        <w:right w:val="none" w:sz="0" w:space="0" w:color="auto"/>
      </w:divBdr>
    </w:div>
    <w:div w:id="1111322098">
      <w:bodyDiv w:val="1"/>
      <w:marLeft w:val="0"/>
      <w:marRight w:val="0"/>
      <w:marTop w:val="0"/>
      <w:marBottom w:val="0"/>
      <w:divBdr>
        <w:top w:val="none" w:sz="0" w:space="0" w:color="auto"/>
        <w:left w:val="none" w:sz="0" w:space="0" w:color="auto"/>
        <w:bottom w:val="none" w:sz="0" w:space="0" w:color="auto"/>
        <w:right w:val="none" w:sz="0" w:space="0" w:color="auto"/>
      </w:divBdr>
    </w:div>
    <w:div w:id="1112826494">
      <w:bodyDiv w:val="1"/>
      <w:marLeft w:val="0"/>
      <w:marRight w:val="0"/>
      <w:marTop w:val="0"/>
      <w:marBottom w:val="0"/>
      <w:divBdr>
        <w:top w:val="none" w:sz="0" w:space="0" w:color="auto"/>
        <w:left w:val="none" w:sz="0" w:space="0" w:color="auto"/>
        <w:bottom w:val="none" w:sz="0" w:space="0" w:color="auto"/>
        <w:right w:val="none" w:sz="0" w:space="0" w:color="auto"/>
      </w:divBdr>
    </w:div>
    <w:div w:id="1113019168">
      <w:bodyDiv w:val="1"/>
      <w:marLeft w:val="0"/>
      <w:marRight w:val="0"/>
      <w:marTop w:val="0"/>
      <w:marBottom w:val="0"/>
      <w:divBdr>
        <w:top w:val="none" w:sz="0" w:space="0" w:color="auto"/>
        <w:left w:val="none" w:sz="0" w:space="0" w:color="auto"/>
        <w:bottom w:val="none" w:sz="0" w:space="0" w:color="auto"/>
        <w:right w:val="none" w:sz="0" w:space="0" w:color="auto"/>
      </w:divBdr>
    </w:div>
    <w:div w:id="1116482775">
      <w:bodyDiv w:val="1"/>
      <w:marLeft w:val="0"/>
      <w:marRight w:val="0"/>
      <w:marTop w:val="0"/>
      <w:marBottom w:val="0"/>
      <w:divBdr>
        <w:top w:val="none" w:sz="0" w:space="0" w:color="auto"/>
        <w:left w:val="none" w:sz="0" w:space="0" w:color="auto"/>
        <w:bottom w:val="none" w:sz="0" w:space="0" w:color="auto"/>
        <w:right w:val="none" w:sz="0" w:space="0" w:color="auto"/>
      </w:divBdr>
    </w:div>
    <w:div w:id="1135485726">
      <w:bodyDiv w:val="1"/>
      <w:marLeft w:val="0"/>
      <w:marRight w:val="0"/>
      <w:marTop w:val="0"/>
      <w:marBottom w:val="0"/>
      <w:divBdr>
        <w:top w:val="none" w:sz="0" w:space="0" w:color="auto"/>
        <w:left w:val="none" w:sz="0" w:space="0" w:color="auto"/>
        <w:bottom w:val="none" w:sz="0" w:space="0" w:color="auto"/>
        <w:right w:val="none" w:sz="0" w:space="0" w:color="auto"/>
      </w:divBdr>
    </w:div>
    <w:div w:id="1162739966">
      <w:bodyDiv w:val="1"/>
      <w:marLeft w:val="0"/>
      <w:marRight w:val="0"/>
      <w:marTop w:val="0"/>
      <w:marBottom w:val="0"/>
      <w:divBdr>
        <w:top w:val="none" w:sz="0" w:space="0" w:color="auto"/>
        <w:left w:val="none" w:sz="0" w:space="0" w:color="auto"/>
        <w:bottom w:val="none" w:sz="0" w:space="0" w:color="auto"/>
        <w:right w:val="none" w:sz="0" w:space="0" w:color="auto"/>
      </w:divBdr>
    </w:div>
    <w:div w:id="1194221902">
      <w:bodyDiv w:val="1"/>
      <w:marLeft w:val="0"/>
      <w:marRight w:val="0"/>
      <w:marTop w:val="0"/>
      <w:marBottom w:val="0"/>
      <w:divBdr>
        <w:top w:val="none" w:sz="0" w:space="0" w:color="auto"/>
        <w:left w:val="none" w:sz="0" w:space="0" w:color="auto"/>
        <w:bottom w:val="none" w:sz="0" w:space="0" w:color="auto"/>
        <w:right w:val="none" w:sz="0" w:space="0" w:color="auto"/>
      </w:divBdr>
    </w:div>
    <w:div w:id="1203053337">
      <w:bodyDiv w:val="1"/>
      <w:marLeft w:val="0"/>
      <w:marRight w:val="0"/>
      <w:marTop w:val="0"/>
      <w:marBottom w:val="0"/>
      <w:divBdr>
        <w:top w:val="none" w:sz="0" w:space="0" w:color="auto"/>
        <w:left w:val="none" w:sz="0" w:space="0" w:color="auto"/>
        <w:bottom w:val="none" w:sz="0" w:space="0" w:color="auto"/>
        <w:right w:val="none" w:sz="0" w:space="0" w:color="auto"/>
      </w:divBdr>
    </w:div>
    <w:div w:id="1206911007">
      <w:bodyDiv w:val="1"/>
      <w:marLeft w:val="0"/>
      <w:marRight w:val="0"/>
      <w:marTop w:val="0"/>
      <w:marBottom w:val="0"/>
      <w:divBdr>
        <w:top w:val="none" w:sz="0" w:space="0" w:color="auto"/>
        <w:left w:val="none" w:sz="0" w:space="0" w:color="auto"/>
        <w:bottom w:val="none" w:sz="0" w:space="0" w:color="auto"/>
        <w:right w:val="none" w:sz="0" w:space="0" w:color="auto"/>
      </w:divBdr>
    </w:div>
    <w:div w:id="1228147109">
      <w:bodyDiv w:val="1"/>
      <w:marLeft w:val="0"/>
      <w:marRight w:val="0"/>
      <w:marTop w:val="0"/>
      <w:marBottom w:val="0"/>
      <w:divBdr>
        <w:top w:val="none" w:sz="0" w:space="0" w:color="auto"/>
        <w:left w:val="none" w:sz="0" w:space="0" w:color="auto"/>
        <w:bottom w:val="none" w:sz="0" w:space="0" w:color="auto"/>
        <w:right w:val="none" w:sz="0" w:space="0" w:color="auto"/>
      </w:divBdr>
    </w:div>
    <w:div w:id="1229413810">
      <w:bodyDiv w:val="1"/>
      <w:marLeft w:val="0"/>
      <w:marRight w:val="0"/>
      <w:marTop w:val="0"/>
      <w:marBottom w:val="0"/>
      <w:divBdr>
        <w:top w:val="none" w:sz="0" w:space="0" w:color="auto"/>
        <w:left w:val="none" w:sz="0" w:space="0" w:color="auto"/>
        <w:bottom w:val="none" w:sz="0" w:space="0" w:color="auto"/>
        <w:right w:val="none" w:sz="0" w:space="0" w:color="auto"/>
      </w:divBdr>
    </w:div>
    <w:div w:id="1229652276">
      <w:bodyDiv w:val="1"/>
      <w:marLeft w:val="0"/>
      <w:marRight w:val="0"/>
      <w:marTop w:val="0"/>
      <w:marBottom w:val="0"/>
      <w:divBdr>
        <w:top w:val="none" w:sz="0" w:space="0" w:color="auto"/>
        <w:left w:val="none" w:sz="0" w:space="0" w:color="auto"/>
        <w:bottom w:val="none" w:sz="0" w:space="0" w:color="auto"/>
        <w:right w:val="none" w:sz="0" w:space="0" w:color="auto"/>
      </w:divBdr>
    </w:div>
    <w:div w:id="1251936643">
      <w:bodyDiv w:val="1"/>
      <w:marLeft w:val="0"/>
      <w:marRight w:val="0"/>
      <w:marTop w:val="0"/>
      <w:marBottom w:val="0"/>
      <w:divBdr>
        <w:top w:val="none" w:sz="0" w:space="0" w:color="auto"/>
        <w:left w:val="none" w:sz="0" w:space="0" w:color="auto"/>
        <w:bottom w:val="none" w:sz="0" w:space="0" w:color="auto"/>
        <w:right w:val="none" w:sz="0" w:space="0" w:color="auto"/>
      </w:divBdr>
    </w:div>
    <w:div w:id="1258631509">
      <w:bodyDiv w:val="1"/>
      <w:marLeft w:val="0"/>
      <w:marRight w:val="0"/>
      <w:marTop w:val="0"/>
      <w:marBottom w:val="0"/>
      <w:divBdr>
        <w:top w:val="none" w:sz="0" w:space="0" w:color="auto"/>
        <w:left w:val="none" w:sz="0" w:space="0" w:color="auto"/>
        <w:bottom w:val="none" w:sz="0" w:space="0" w:color="auto"/>
        <w:right w:val="none" w:sz="0" w:space="0" w:color="auto"/>
      </w:divBdr>
    </w:div>
    <w:div w:id="1275407084">
      <w:bodyDiv w:val="1"/>
      <w:marLeft w:val="0"/>
      <w:marRight w:val="0"/>
      <w:marTop w:val="0"/>
      <w:marBottom w:val="0"/>
      <w:divBdr>
        <w:top w:val="none" w:sz="0" w:space="0" w:color="auto"/>
        <w:left w:val="none" w:sz="0" w:space="0" w:color="auto"/>
        <w:bottom w:val="none" w:sz="0" w:space="0" w:color="auto"/>
        <w:right w:val="none" w:sz="0" w:space="0" w:color="auto"/>
      </w:divBdr>
    </w:div>
    <w:div w:id="1290160910">
      <w:bodyDiv w:val="1"/>
      <w:marLeft w:val="0"/>
      <w:marRight w:val="0"/>
      <w:marTop w:val="0"/>
      <w:marBottom w:val="0"/>
      <w:divBdr>
        <w:top w:val="none" w:sz="0" w:space="0" w:color="auto"/>
        <w:left w:val="none" w:sz="0" w:space="0" w:color="auto"/>
        <w:bottom w:val="none" w:sz="0" w:space="0" w:color="auto"/>
        <w:right w:val="none" w:sz="0" w:space="0" w:color="auto"/>
      </w:divBdr>
    </w:div>
    <w:div w:id="1291127184">
      <w:bodyDiv w:val="1"/>
      <w:marLeft w:val="0"/>
      <w:marRight w:val="0"/>
      <w:marTop w:val="0"/>
      <w:marBottom w:val="0"/>
      <w:divBdr>
        <w:top w:val="none" w:sz="0" w:space="0" w:color="auto"/>
        <w:left w:val="none" w:sz="0" w:space="0" w:color="auto"/>
        <w:bottom w:val="none" w:sz="0" w:space="0" w:color="auto"/>
        <w:right w:val="none" w:sz="0" w:space="0" w:color="auto"/>
      </w:divBdr>
    </w:div>
    <w:div w:id="1295602779">
      <w:bodyDiv w:val="1"/>
      <w:marLeft w:val="0"/>
      <w:marRight w:val="0"/>
      <w:marTop w:val="0"/>
      <w:marBottom w:val="0"/>
      <w:divBdr>
        <w:top w:val="none" w:sz="0" w:space="0" w:color="auto"/>
        <w:left w:val="none" w:sz="0" w:space="0" w:color="auto"/>
        <w:bottom w:val="none" w:sz="0" w:space="0" w:color="auto"/>
        <w:right w:val="none" w:sz="0" w:space="0" w:color="auto"/>
      </w:divBdr>
    </w:div>
    <w:div w:id="1297687573">
      <w:bodyDiv w:val="1"/>
      <w:marLeft w:val="0"/>
      <w:marRight w:val="0"/>
      <w:marTop w:val="0"/>
      <w:marBottom w:val="0"/>
      <w:divBdr>
        <w:top w:val="none" w:sz="0" w:space="0" w:color="auto"/>
        <w:left w:val="none" w:sz="0" w:space="0" w:color="auto"/>
        <w:bottom w:val="none" w:sz="0" w:space="0" w:color="auto"/>
        <w:right w:val="none" w:sz="0" w:space="0" w:color="auto"/>
      </w:divBdr>
    </w:div>
    <w:div w:id="1302659711">
      <w:bodyDiv w:val="1"/>
      <w:marLeft w:val="0"/>
      <w:marRight w:val="0"/>
      <w:marTop w:val="0"/>
      <w:marBottom w:val="0"/>
      <w:divBdr>
        <w:top w:val="none" w:sz="0" w:space="0" w:color="auto"/>
        <w:left w:val="none" w:sz="0" w:space="0" w:color="auto"/>
        <w:bottom w:val="none" w:sz="0" w:space="0" w:color="auto"/>
        <w:right w:val="none" w:sz="0" w:space="0" w:color="auto"/>
      </w:divBdr>
    </w:div>
    <w:div w:id="1325086121">
      <w:bodyDiv w:val="1"/>
      <w:marLeft w:val="0"/>
      <w:marRight w:val="0"/>
      <w:marTop w:val="0"/>
      <w:marBottom w:val="0"/>
      <w:divBdr>
        <w:top w:val="none" w:sz="0" w:space="0" w:color="auto"/>
        <w:left w:val="none" w:sz="0" w:space="0" w:color="auto"/>
        <w:bottom w:val="none" w:sz="0" w:space="0" w:color="auto"/>
        <w:right w:val="none" w:sz="0" w:space="0" w:color="auto"/>
      </w:divBdr>
    </w:div>
    <w:div w:id="1352608002">
      <w:bodyDiv w:val="1"/>
      <w:marLeft w:val="0"/>
      <w:marRight w:val="0"/>
      <w:marTop w:val="0"/>
      <w:marBottom w:val="0"/>
      <w:divBdr>
        <w:top w:val="none" w:sz="0" w:space="0" w:color="auto"/>
        <w:left w:val="none" w:sz="0" w:space="0" w:color="auto"/>
        <w:bottom w:val="none" w:sz="0" w:space="0" w:color="auto"/>
        <w:right w:val="none" w:sz="0" w:space="0" w:color="auto"/>
      </w:divBdr>
    </w:div>
    <w:div w:id="1359311809">
      <w:bodyDiv w:val="1"/>
      <w:marLeft w:val="0"/>
      <w:marRight w:val="0"/>
      <w:marTop w:val="0"/>
      <w:marBottom w:val="0"/>
      <w:divBdr>
        <w:top w:val="none" w:sz="0" w:space="0" w:color="auto"/>
        <w:left w:val="none" w:sz="0" w:space="0" w:color="auto"/>
        <w:bottom w:val="none" w:sz="0" w:space="0" w:color="auto"/>
        <w:right w:val="none" w:sz="0" w:space="0" w:color="auto"/>
      </w:divBdr>
    </w:div>
    <w:div w:id="1373113319">
      <w:bodyDiv w:val="1"/>
      <w:marLeft w:val="0"/>
      <w:marRight w:val="0"/>
      <w:marTop w:val="0"/>
      <w:marBottom w:val="0"/>
      <w:divBdr>
        <w:top w:val="none" w:sz="0" w:space="0" w:color="auto"/>
        <w:left w:val="none" w:sz="0" w:space="0" w:color="auto"/>
        <w:bottom w:val="none" w:sz="0" w:space="0" w:color="auto"/>
        <w:right w:val="none" w:sz="0" w:space="0" w:color="auto"/>
      </w:divBdr>
    </w:div>
    <w:div w:id="1412198025">
      <w:bodyDiv w:val="1"/>
      <w:marLeft w:val="0"/>
      <w:marRight w:val="0"/>
      <w:marTop w:val="0"/>
      <w:marBottom w:val="0"/>
      <w:divBdr>
        <w:top w:val="none" w:sz="0" w:space="0" w:color="auto"/>
        <w:left w:val="none" w:sz="0" w:space="0" w:color="auto"/>
        <w:bottom w:val="none" w:sz="0" w:space="0" w:color="auto"/>
        <w:right w:val="none" w:sz="0" w:space="0" w:color="auto"/>
      </w:divBdr>
    </w:div>
    <w:div w:id="1416710645">
      <w:bodyDiv w:val="1"/>
      <w:marLeft w:val="0"/>
      <w:marRight w:val="0"/>
      <w:marTop w:val="0"/>
      <w:marBottom w:val="0"/>
      <w:divBdr>
        <w:top w:val="none" w:sz="0" w:space="0" w:color="auto"/>
        <w:left w:val="none" w:sz="0" w:space="0" w:color="auto"/>
        <w:bottom w:val="none" w:sz="0" w:space="0" w:color="auto"/>
        <w:right w:val="none" w:sz="0" w:space="0" w:color="auto"/>
      </w:divBdr>
    </w:div>
    <w:div w:id="1421371045">
      <w:bodyDiv w:val="1"/>
      <w:marLeft w:val="0"/>
      <w:marRight w:val="0"/>
      <w:marTop w:val="0"/>
      <w:marBottom w:val="0"/>
      <w:divBdr>
        <w:top w:val="none" w:sz="0" w:space="0" w:color="auto"/>
        <w:left w:val="none" w:sz="0" w:space="0" w:color="auto"/>
        <w:bottom w:val="none" w:sz="0" w:space="0" w:color="auto"/>
        <w:right w:val="none" w:sz="0" w:space="0" w:color="auto"/>
      </w:divBdr>
    </w:div>
    <w:div w:id="1456826976">
      <w:bodyDiv w:val="1"/>
      <w:marLeft w:val="0"/>
      <w:marRight w:val="0"/>
      <w:marTop w:val="0"/>
      <w:marBottom w:val="0"/>
      <w:divBdr>
        <w:top w:val="none" w:sz="0" w:space="0" w:color="auto"/>
        <w:left w:val="none" w:sz="0" w:space="0" w:color="auto"/>
        <w:bottom w:val="none" w:sz="0" w:space="0" w:color="auto"/>
        <w:right w:val="none" w:sz="0" w:space="0" w:color="auto"/>
      </w:divBdr>
    </w:div>
    <w:div w:id="1479490039">
      <w:bodyDiv w:val="1"/>
      <w:marLeft w:val="0"/>
      <w:marRight w:val="0"/>
      <w:marTop w:val="0"/>
      <w:marBottom w:val="0"/>
      <w:divBdr>
        <w:top w:val="none" w:sz="0" w:space="0" w:color="auto"/>
        <w:left w:val="none" w:sz="0" w:space="0" w:color="auto"/>
        <w:bottom w:val="none" w:sz="0" w:space="0" w:color="auto"/>
        <w:right w:val="none" w:sz="0" w:space="0" w:color="auto"/>
      </w:divBdr>
    </w:div>
    <w:div w:id="1493831837">
      <w:bodyDiv w:val="1"/>
      <w:marLeft w:val="0"/>
      <w:marRight w:val="0"/>
      <w:marTop w:val="0"/>
      <w:marBottom w:val="0"/>
      <w:divBdr>
        <w:top w:val="none" w:sz="0" w:space="0" w:color="auto"/>
        <w:left w:val="none" w:sz="0" w:space="0" w:color="auto"/>
        <w:bottom w:val="none" w:sz="0" w:space="0" w:color="auto"/>
        <w:right w:val="none" w:sz="0" w:space="0" w:color="auto"/>
      </w:divBdr>
    </w:div>
    <w:div w:id="1511603871">
      <w:bodyDiv w:val="1"/>
      <w:marLeft w:val="0"/>
      <w:marRight w:val="0"/>
      <w:marTop w:val="0"/>
      <w:marBottom w:val="0"/>
      <w:divBdr>
        <w:top w:val="none" w:sz="0" w:space="0" w:color="auto"/>
        <w:left w:val="none" w:sz="0" w:space="0" w:color="auto"/>
        <w:bottom w:val="none" w:sz="0" w:space="0" w:color="auto"/>
        <w:right w:val="none" w:sz="0" w:space="0" w:color="auto"/>
      </w:divBdr>
    </w:div>
    <w:div w:id="1564675678">
      <w:bodyDiv w:val="1"/>
      <w:marLeft w:val="0"/>
      <w:marRight w:val="0"/>
      <w:marTop w:val="0"/>
      <w:marBottom w:val="0"/>
      <w:divBdr>
        <w:top w:val="none" w:sz="0" w:space="0" w:color="auto"/>
        <w:left w:val="none" w:sz="0" w:space="0" w:color="auto"/>
        <w:bottom w:val="none" w:sz="0" w:space="0" w:color="auto"/>
        <w:right w:val="none" w:sz="0" w:space="0" w:color="auto"/>
      </w:divBdr>
    </w:div>
    <w:div w:id="1596554558">
      <w:bodyDiv w:val="1"/>
      <w:marLeft w:val="0"/>
      <w:marRight w:val="0"/>
      <w:marTop w:val="0"/>
      <w:marBottom w:val="0"/>
      <w:divBdr>
        <w:top w:val="none" w:sz="0" w:space="0" w:color="auto"/>
        <w:left w:val="none" w:sz="0" w:space="0" w:color="auto"/>
        <w:bottom w:val="none" w:sz="0" w:space="0" w:color="auto"/>
        <w:right w:val="none" w:sz="0" w:space="0" w:color="auto"/>
      </w:divBdr>
    </w:div>
    <w:div w:id="1619288615">
      <w:bodyDiv w:val="1"/>
      <w:marLeft w:val="0"/>
      <w:marRight w:val="0"/>
      <w:marTop w:val="0"/>
      <w:marBottom w:val="0"/>
      <w:divBdr>
        <w:top w:val="none" w:sz="0" w:space="0" w:color="auto"/>
        <w:left w:val="none" w:sz="0" w:space="0" w:color="auto"/>
        <w:bottom w:val="none" w:sz="0" w:space="0" w:color="auto"/>
        <w:right w:val="none" w:sz="0" w:space="0" w:color="auto"/>
      </w:divBdr>
    </w:div>
    <w:div w:id="1620793601">
      <w:bodyDiv w:val="1"/>
      <w:marLeft w:val="0"/>
      <w:marRight w:val="0"/>
      <w:marTop w:val="0"/>
      <w:marBottom w:val="0"/>
      <w:divBdr>
        <w:top w:val="none" w:sz="0" w:space="0" w:color="auto"/>
        <w:left w:val="none" w:sz="0" w:space="0" w:color="auto"/>
        <w:bottom w:val="none" w:sz="0" w:space="0" w:color="auto"/>
        <w:right w:val="none" w:sz="0" w:space="0" w:color="auto"/>
      </w:divBdr>
    </w:div>
    <w:div w:id="1646083667">
      <w:bodyDiv w:val="1"/>
      <w:marLeft w:val="0"/>
      <w:marRight w:val="0"/>
      <w:marTop w:val="0"/>
      <w:marBottom w:val="0"/>
      <w:divBdr>
        <w:top w:val="none" w:sz="0" w:space="0" w:color="auto"/>
        <w:left w:val="none" w:sz="0" w:space="0" w:color="auto"/>
        <w:bottom w:val="none" w:sz="0" w:space="0" w:color="auto"/>
        <w:right w:val="none" w:sz="0" w:space="0" w:color="auto"/>
      </w:divBdr>
    </w:div>
    <w:div w:id="1652325614">
      <w:bodyDiv w:val="1"/>
      <w:marLeft w:val="0"/>
      <w:marRight w:val="0"/>
      <w:marTop w:val="0"/>
      <w:marBottom w:val="0"/>
      <w:divBdr>
        <w:top w:val="none" w:sz="0" w:space="0" w:color="auto"/>
        <w:left w:val="none" w:sz="0" w:space="0" w:color="auto"/>
        <w:bottom w:val="none" w:sz="0" w:space="0" w:color="auto"/>
        <w:right w:val="none" w:sz="0" w:space="0" w:color="auto"/>
      </w:divBdr>
    </w:div>
    <w:div w:id="1655793544">
      <w:bodyDiv w:val="1"/>
      <w:marLeft w:val="0"/>
      <w:marRight w:val="0"/>
      <w:marTop w:val="0"/>
      <w:marBottom w:val="0"/>
      <w:divBdr>
        <w:top w:val="none" w:sz="0" w:space="0" w:color="auto"/>
        <w:left w:val="none" w:sz="0" w:space="0" w:color="auto"/>
        <w:bottom w:val="none" w:sz="0" w:space="0" w:color="auto"/>
        <w:right w:val="none" w:sz="0" w:space="0" w:color="auto"/>
      </w:divBdr>
    </w:div>
    <w:div w:id="1682388486">
      <w:bodyDiv w:val="1"/>
      <w:marLeft w:val="0"/>
      <w:marRight w:val="0"/>
      <w:marTop w:val="0"/>
      <w:marBottom w:val="0"/>
      <w:divBdr>
        <w:top w:val="none" w:sz="0" w:space="0" w:color="auto"/>
        <w:left w:val="none" w:sz="0" w:space="0" w:color="auto"/>
        <w:bottom w:val="none" w:sz="0" w:space="0" w:color="auto"/>
        <w:right w:val="none" w:sz="0" w:space="0" w:color="auto"/>
      </w:divBdr>
    </w:div>
    <w:div w:id="1683974972">
      <w:bodyDiv w:val="1"/>
      <w:marLeft w:val="0"/>
      <w:marRight w:val="0"/>
      <w:marTop w:val="0"/>
      <w:marBottom w:val="0"/>
      <w:divBdr>
        <w:top w:val="none" w:sz="0" w:space="0" w:color="auto"/>
        <w:left w:val="none" w:sz="0" w:space="0" w:color="auto"/>
        <w:bottom w:val="none" w:sz="0" w:space="0" w:color="auto"/>
        <w:right w:val="none" w:sz="0" w:space="0" w:color="auto"/>
      </w:divBdr>
    </w:div>
    <w:div w:id="1742174798">
      <w:bodyDiv w:val="1"/>
      <w:marLeft w:val="0"/>
      <w:marRight w:val="0"/>
      <w:marTop w:val="0"/>
      <w:marBottom w:val="0"/>
      <w:divBdr>
        <w:top w:val="none" w:sz="0" w:space="0" w:color="auto"/>
        <w:left w:val="none" w:sz="0" w:space="0" w:color="auto"/>
        <w:bottom w:val="none" w:sz="0" w:space="0" w:color="auto"/>
        <w:right w:val="none" w:sz="0" w:space="0" w:color="auto"/>
      </w:divBdr>
    </w:div>
    <w:div w:id="1742483032">
      <w:bodyDiv w:val="1"/>
      <w:marLeft w:val="0"/>
      <w:marRight w:val="0"/>
      <w:marTop w:val="0"/>
      <w:marBottom w:val="0"/>
      <w:divBdr>
        <w:top w:val="none" w:sz="0" w:space="0" w:color="auto"/>
        <w:left w:val="none" w:sz="0" w:space="0" w:color="auto"/>
        <w:bottom w:val="none" w:sz="0" w:space="0" w:color="auto"/>
        <w:right w:val="none" w:sz="0" w:space="0" w:color="auto"/>
      </w:divBdr>
    </w:div>
    <w:div w:id="1794639368">
      <w:bodyDiv w:val="1"/>
      <w:marLeft w:val="0"/>
      <w:marRight w:val="0"/>
      <w:marTop w:val="0"/>
      <w:marBottom w:val="0"/>
      <w:divBdr>
        <w:top w:val="none" w:sz="0" w:space="0" w:color="auto"/>
        <w:left w:val="none" w:sz="0" w:space="0" w:color="auto"/>
        <w:bottom w:val="none" w:sz="0" w:space="0" w:color="auto"/>
        <w:right w:val="none" w:sz="0" w:space="0" w:color="auto"/>
      </w:divBdr>
    </w:div>
    <w:div w:id="1801269292">
      <w:bodyDiv w:val="1"/>
      <w:marLeft w:val="0"/>
      <w:marRight w:val="0"/>
      <w:marTop w:val="0"/>
      <w:marBottom w:val="0"/>
      <w:divBdr>
        <w:top w:val="none" w:sz="0" w:space="0" w:color="auto"/>
        <w:left w:val="none" w:sz="0" w:space="0" w:color="auto"/>
        <w:bottom w:val="none" w:sz="0" w:space="0" w:color="auto"/>
        <w:right w:val="none" w:sz="0" w:space="0" w:color="auto"/>
      </w:divBdr>
    </w:div>
    <w:div w:id="1814757618">
      <w:bodyDiv w:val="1"/>
      <w:marLeft w:val="0"/>
      <w:marRight w:val="0"/>
      <w:marTop w:val="0"/>
      <w:marBottom w:val="0"/>
      <w:divBdr>
        <w:top w:val="none" w:sz="0" w:space="0" w:color="auto"/>
        <w:left w:val="none" w:sz="0" w:space="0" w:color="auto"/>
        <w:bottom w:val="none" w:sz="0" w:space="0" w:color="auto"/>
        <w:right w:val="none" w:sz="0" w:space="0" w:color="auto"/>
      </w:divBdr>
    </w:div>
    <w:div w:id="1817526654">
      <w:bodyDiv w:val="1"/>
      <w:marLeft w:val="0"/>
      <w:marRight w:val="0"/>
      <w:marTop w:val="0"/>
      <w:marBottom w:val="0"/>
      <w:divBdr>
        <w:top w:val="none" w:sz="0" w:space="0" w:color="auto"/>
        <w:left w:val="none" w:sz="0" w:space="0" w:color="auto"/>
        <w:bottom w:val="none" w:sz="0" w:space="0" w:color="auto"/>
        <w:right w:val="none" w:sz="0" w:space="0" w:color="auto"/>
      </w:divBdr>
    </w:div>
    <w:div w:id="1833374031">
      <w:bodyDiv w:val="1"/>
      <w:marLeft w:val="0"/>
      <w:marRight w:val="0"/>
      <w:marTop w:val="0"/>
      <w:marBottom w:val="0"/>
      <w:divBdr>
        <w:top w:val="none" w:sz="0" w:space="0" w:color="auto"/>
        <w:left w:val="none" w:sz="0" w:space="0" w:color="auto"/>
        <w:bottom w:val="none" w:sz="0" w:space="0" w:color="auto"/>
        <w:right w:val="none" w:sz="0" w:space="0" w:color="auto"/>
      </w:divBdr>
    </w:div>
    <w:div w:id="1843625472">
      <w:bodyDiv w:val="1"/>
      <w:marLeft w:val="0"/>
      <w:marRight w:val="0"/>
      <w:marTop w:val="0"/>
      <w:marBottom w:val="0"/>
      <w:divBdr>
        <w:top w:val="none" w:sz="0" w:space="0" w:color="auto"/>
        <w:left w:val="none" w:sz="0" w:space="0" w:color="auto"/>
        <w:bottom w:val="none" w:sz="0" w:space="0" w:color="auto"/>
        <w:right w:val="none" w:sz="0" w:space="0" w:color="auto"/>
      </w:divBdr>
    </w:div>
    <w:div w:id="1848255246">
      <w:bodyDiv w:val="1"/>
      <w:marLeft w:val="0"/>
      <w:marRight w:val="0"/>
      <w:marTop w:val="0"/>
      <w:marBottom w:val="0"/>
      <w:divBdr>
        <w:top w:val="none" w:sz="0" w:space="0" w:color="auto"/>
        <w:left w:val="none" w:sz="0" w:space="0" w:color="auto"/>
        <w:bottom w:val="none" w:sz="0" w:space="0" w:color="auto"/>
        <w:right w:val="none" w:sz="0" w:space="0" w:color="auto"/>
      </w:divBdr>
    </w:div>
    <w:div w:id="1852067811">
      <w:bodyDiv w:val="1"/>
      <w:marLeft w:val="0"/>
      <w:marRight w:val="0"/>
      <w:marTop w:val="0"/>
      <w:marBottom w:val="0"/>
      <w:divBdr>
        <w:top w:val="none" w:sz="0" w:space="0" w:color="auto"/>
        <w:left w:val="none" w:sz="0" w:space="0" w:color="auto"/>
        <w:bottom w:val="none" w:sz="0" w:space="0" w:color="auto"/>
        <w:right w:val="none" w:sz="0" w:space="0" w:color="auto"/>
      </w:divBdr>
    </w:div>
    <w:div w:id="1884637231">
      <w:bodyDiv w:val="1"/>
      <w:marLeft w:val="0"/>
      <w:marRight w:val="0"/>
      <w:marTop w:val="0"/>
      <w:marBottom w:val="0"/>
      <w:divBdr>
        <w:top w:val="none" w:sz="0" w:space="0" w:color="auto"/>
        <w:left w:val="none" w:sz="0" w:space="0" w:color="auto"/>
        <w:bottom w:val="none" w:sz="0" w:space="0" w:color="auto"/>
        <w:right w:val="none" w:sz="0" w:space="0" w:color="auto"/>
      </w:divBdr>
    </w:div>
    <w:div w:id="1908370250">
      <w:bodyDiv w:val="1"/>
      <w:marLeft w:val="0"/>
      <w:marRight w:val="0"/>
      <w:marTop w:val="0"/>
      <w:marBottom w:val="0"/>
      <w:divBdr>
        <w:top w:val="none" w:sz="0" w:space="0" w:color="auto"/>
        <w:left w:val="none" w:sz="0" w:space="0" w:color="auto"/>
        <w:bottom w:val="none" w:sz="0" w:space="0" w:color="auto"/>
        <w:right w:val="none" w:sz="0" w:space="0" w:color="auto"/>
      </w:divBdr>
    </w:div>
    <w:div w:id="1963224305">
      <w:bodyDiv w:val="1"/>
      <w:marLeft w:val="0"/>
      <w:marRight w:val="0"/>
      <w:marTop w:val="0"/>
      <w:marBottom w:val="0"/>
      <w:divBdr>
        <w:top w:val="none" w:sz="0" w:space="0" w:color="auto"/>
        <w:left w:val="none" w:sz="0" w:space="0" w:color="auto"/>
        <w:bottom w:val="none" w:sz="0" w:space="0" w:color="auto"/>
        <w:right w:val="none" w:sz="0" w:space="0" w:color="auto"/>
      </w:divBdr>
    </w:div>
    <w:div w:id="1982883320">
      <w:bodyDiv w:val="1"/>
      <w:marLeft w:val="0"/>
      <w:marRight w:val="0"/>
      <w:marTop w:val="0"/>
      <w:marBottom w:val="0"/>
      <w:divBdr>
        <w:top w:val="none" w:sz="0" w:space="0" w:color="auto"/>
        <w:left w:val="none" w:sz="0" w:space="0" w:color="auto"/>
        <w:bottom w:val="none" w:sz="0" w:space="0" w:color="auto"/>
        <w:right w:val="none" w:sz="0" w:space="0" w:color="auto"/>
      </w:divBdr>
    </w:div>
    <w:div w:id="2003699957">
      <w:bodyDiv w:val="1"/>
      <w:marLeft w:val="0"/>
      <w:marRight w:val="0"/>
      <w:marTop w:val="0"/>
      <w:marBottom w:val="0"/>
      <w:divBdr>
        <w:top w:val="none" w:sz="0" w:space="0" w:color="auto"/>
        <w:left w:val="none" w:sz="0" w:space="0" w:color="auto"/>
        <w:bottom w:val="none" w:sz="0" w:space="0" w:color="auto"/>
        <w:right w:val="none" w:sz="0" w:space="0" w:color="auto"/>
      </w:divBdr>
    </w:div>
    <w:div w:id="2009477289">
      <w:bodyDiv w:val="1"/>
      <w:marLeft w:val="0"/>
      <w:marRight w:val="0"/>
      <w:marTop w:val="0"/>
      <w:marBottom w:val="0"/>
      <w:divBdr>
        <w:top w:val="none" w:sz="0" w:space="0" w:color="auto"/>
        <w:left w:val="none" w:sz="0" w:space="0" w:color="auto"/>
        <w:bottom w:val="none" w:sz="0" w:space="0" w:color="auto"/>
        <w:right w:val="none" w:sz="0" w:space="0" w:color="auto"/>
      </w:divBdr>
    </w:div>
    <w:div w:id="2059935818">
      <w:bodyDiv w:val="1"/>
      <w:marLeft w:val="0"/>
      <w:marRight w:val="0"/>
      <w:marTop w:val="0"/>
      <w:marBottom w:val="0"/>
      <w:divBdr>
        <w:top w:val="none" w:sz="0" w:space="0" w:color="auto"/>
        <w:left w:val="none" w:sz="0" w:space="0" w:color="auto"/>
        <w:bottom w:val="none" w:sz="0" w:space="0" w:color="auto"/>
        <w:right w:val="none" w:sz="0" w:space="0" w:color="auto"/>
      </w:divBdr>
    </w:div>
    <w:div w:id="2084719156">
      <w:bodyDiv w:val="1"/>
      <w:marLeft w:val="0"/>
      <w:marRight w:val="0"/>
      <w:marTop w:val="0"/>
      <w:marBottom w:val="0"/>
      <w:divBdr>
        <w:top w:val="none" w:sz="0" w:space="0" w:color="auto"/>
        <w:left w:val="none" w:sz="0" w:space="0" w:color="auto"/>
        <w:bottom w:val="none" w:sz="0" w:space="0" w:color="auto"/>
        <w:right w:val="none" w:sz="0" w:space="0" w:color="auto"/>
      </w:divBdr>
    </w:div>
    <w:div w:id="2085451286">
      <w:bodyDiv w:val="1"/>
      <w:marLeft w:val="0"/>
      <w:marRight w:val="0"/>
      <w:marTop w:val="0"/>
      <w:marBottom w:val="0"/>
      <w:divBdr>
        <w:top w:val="none" w:sz="0" w:space="0" w:color="auto"/>
        <w:left w:val="none" w:sz="0" w:space="0" w:color="auto"/>
        <w:bottom w:val="none" w:sz="0" w:space="0" w:color="auto"/>
        <w:right w:val="none" w:sz="0" w:space="0" w:color="auto"/>
      </w:divBdr>
    </w:div>
    <w:div w:id="2108190706">
      <w:bodyDiv w:val="1"/>
      <w:marLeft w:val="0"/>
      <w:marRight w:val="0"/>
      <w:marTop w:val="0"/>
      <w:marBottom w:val="0"/>
      <w:divBdr>
        <w:top w:val="none" w:sz="0" w:space="0" w:color="auto"/>
        <w:left w:val="none" w:sz="0" w:space="0" w:color="auto"/>
        <w:bottom w:val="none" w:sz="0" w:space="0" w:color="auto"/>
        <w:right w:val="none" w:sz="0" w:space="0" w:color="auto"/>
      </w:divBdr>
    </w:div>
    <w:div w:id="2110854625">
      <w:bodyDiv w:val="1"/>
      <w:marLeft w:val="0"/>
      <w:marRight w:val="0"/>
      <w:marTop w:val="0"/>
      <w:marBottom w:val="0"/>
      <w:divBdr>
        <w:top w:val="none" w:sz="0" w:space="0" w:color="auto"/>
        <w:left w:val="none" w:sz="0" w:space="0" w:color="auto"/>
        <w:bottom w:val="none" w:sz="0" w:space="0" w:color="auto"/>
        <w:right w:val="none" w:sz="0" w:space="0" w:color="auto"/>
      </w:divBdr>
    </w:div>
    <w:div w:id="2122911580">
      <w:bodyDiv w:val="1"/>
      <w:marLeft w:val="0"/>
      <w:marRight w:val="0"/>
      <w:marTop w:val="0"/>
      <w:marBottom w:val="0"/>
      <w:divBdr>
        <w:top w:val="none" w:sz="0" w:space="0" w:color="auto"/>
        <w:left w:val="none" w:sz="0" w:space="0" w:color="auto"/>
        <w:bottom w:val="none" w:sz="0" w:space="0" w:color="auto"/>
        <w:right w:val="none" w:sz="0" w:space="0" w:color="auto"/>
      </w:divBdr>
    </w:div>
    <w:div w:id="2146971324">
      <w:bodyDiv w:val="1"/>
      <w:marLeft w:val="0"/>
      <w:marRight w:val="0"/>
      <w:marTop w:val="0"/>
      <w:marBottom w:val="0"/>
      <w:divBdr>
        <w:top w:val="none" w:sz="0" w:space="0" w:color="auto"/>
        <w:left w:val="none" w:sz="0" w:space="0" w:color="auto"/>
        <w:bottom w:val="none" w:sz="0" w:space="0" w:color="auto"/>
        <w:right w:val="none" w:sz="0" w:space="0" w:color="auto"/>
      </w:divBdr>
      <w:divsChild>
        <w:div w:id="1247308167">
          <w:marLeft w:val="0"/>
          <w:marRight w:val="0"/>
          <w:marTop w:val="280"/>
          <w:marBottom w:val="280"/>
          <w:divBdr>
            <w:top w:val="none" w:sz="0" w:space="0" w:color="auto"/>
            <w:left w:val="none" w:sz="0" w:space="0" w:color="auto"/>
            <w:bottom w:val="none" w:sz="0" w:space="0" w:color="auto"/>
            <w:right w:val="none" w:sz="0" w:space="0" w:color="auto"/>
          </w:divBdr>
        </w:div>
        <w:div w:id="2094352095">
          <w:marLeft w:val="0"/>
          <w:marRight w:val="0"/>
          <w:marTop w:val="280"/>
          <w:marBottom w:val="2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swartd\Desktop\Monitorovac&#237;%20r&#225;mec\Aktualizace%202025\Letn&#237;%20aktualizace\Vyhodnocen&#237;\MR%20l&#233;to%202025%20spojen&#225;%20tabul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[MR léto 2025 spojená tabulka.xlsx]KT kraje!Kontingenční tabulka1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a:t>Počty krajských hodnot v</a:t>
            </a:r>
            <a:r>
              <a:rPr lang="cs-CZ" sz="1200" baseline="0"/>
              <a:t> mezikrajském porovnání</a:t>
            </a:r>
            <a:endParaRPr lang="cs-CZ"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prstDash val="sysDot"/>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'KT kraje'!$B$3:$B$4</c:f>
              <c:strCache>
                <c:ptCount val="1"/>
                <c:pt idx="0">
                  <c:v>Středočeský kraj</c:v>
                </c:pt>
              </c:strCache>
            </c:strRef>
          </c:tx>
          <c:spPr>
            <a:ln w="28575" cap="rnd">
              <a:solidFill>
                <a:schemeClr val="accent1"/>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kraje'!$B$5:$B$19</c:f>
              <c:numCache>
                <c:formatCode>General</c:formatCode>
                <c:ptCount val="14"/>
                <c:pt idx="0">
                  <c:v>5</c:v>
                </c:pt>
                <c:pt idx="1">
                  <c:v>10</c:v>
                </c:pt>
                <c:pt idx="2">
                  <c:v>9</c:v>
                </c:pt>
                <c:pt idx="3">
                  <c:v>7</c:v>
                </c:pt>
                <c:pt idx="4">
                  <c:v>7</c:v>
                </c:pt>
                <c:pt idx="5">
                  <c:v>8</c:v>
                </c:pt>
                <c:pt idx="6">
                  <c:v>12</c:v>
                </c:pt>
                <c:pt idx="7">
                  <c:v>18</c:v>
                </c:pt>
                <c:pt idx="8">
                  <c:v>8</c:v>
                </c:pt>
                <c:pt idx="9">
                  <c:v>8</c:v>
                </c:pt>
                <c:pt idx="10">
                  <c:v>10</c:v>
                </c:pt>
                <c:pt idx="11">
                  <c:v>7</c:v>
                </c:pt>
                <c:pt idx="12">
                  <c:v>11</c:v>
                </c:pt>
                <c:pt idx="13">
                  <c:v>5</c:v>
                </c:pt>
              </c:numCache>
            </c:numRef>
          </c:val>
          <c:smooth val="0"/>
          <c:extLst>
            <c:ext xmlns:c16="http://schemas.microsoft.com/office/drawing/2014/chart" uri="{C3380CC4-5D6E-409C-BE32-E72D297353CC}">
              <c16:uniqueId val="{00000000-482F-4CA9-A8DF-910072BB05A1}"/>
            </c:ext>
          </c:extLst>
        </c:ser>
        <c:ser>
          <c:idx val="1"/>
          <c:order val="1"/>
          <c:tx>
            <c:strRef>
              <c:f>'KT kraje'!$C$3:$C$4</c:f>
              <c:strCache>
                <c:ptCount val="1"/>
                <c:pt idx="0">
                  <c:v>Jihočeský kraj</c:v>
                </c:pt>
              </c:strCache>
            </c:strRef>
          </c:tx>
          <c:spPr>
            <a:ln w="28575" cap="rnd">
              <a:solidFill>
                <a:schemeClr val="accent2"/>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kraje'!$C$5:$C$19</c:f>
              <c:numCache>
                <c:formatCode>General</c:formatCode>
                <c:ptCount val="14"/>
                <c:pt idx="0">
                  <c:v>2</c:v>
                </c:pt>
                <c:pt idx="1">
                  <c:v>5</c:v>
                </c:pt>
                <c:pt idx="2">
                  <c:v>10</c:v>
                </c:pt>
                <c:pt idx="3">
                  <c:v>12</c:v>
                </c:pt>
                <c:pt idx="4">
                  <c:v>8</c:v>
                </c:pt>
                <c:pt idx="5">
                  <c:v>8</c:v>
                </c:pt>
                <c:pt idx="6">
                  <c:v>12</c:v>
                </c:pt>
                <c:pt idx="7">
                  <c:v>13</c:v>
                </c:pt>
                <c:pt idx="8">
                  <c:v>12</c:v>
                </c:pt>
                <c:pt idx="9">
                  <c:v>12</c:v>
                </c:pt>
                <c:pt idx="10">
                  <c:v>8</c:v>
                </c:pt>
                <c:pt idx="11">
                  <c:v>6</c:v>
                </c:pt>
                <c:pt idx="12">
                  <c:v>13</c:v>
                </c:pt>
                <c:pt idx="13">
                  <c:v>4</c:v>
                </c:pt>
              </c:numCache>
            </c:numRef>
          </c:val>
          <c:smooth val="0"/>
          <c:extLst>
            <c:ext xmlns:c16="http://schemas.microsoft.com/office/drawing/2014/chart" uri="{C3380CC4-5D6E-409C-BE32-E72D297353CC}">
              <c16:uniqueId val="{00000001-482F-4CA9-A8DF-910072BB05A1}"/>
            </c:ext>
          </c:extLst>
        </c:ser>
        <c:ser>
          <c:idx val="2"/>
          <c:order val="2"/>
          <c:tx>
            <c:strRef>
              <c:f>'KT kraje'!$D$3:$D$4</c:f>
              <c:strCache>
                <c:ptCount val="1"/>
                <c:pt idx="0">
                  <c:v>Plzeňský kraj</c:v>
                </c:pt>
              </c:strCache>
            </c:strRef>
          </c:tx>
          <c:spPr>
            <a:ln w="28575" cap="rnd">
              <a:solidFill>
                <a:schemeClr val="accent3"/>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kraje'!$D$5:$D$19</c:f>
              <c:numCache>
                <c:formatCode>General</c:formatCode>
                <c:ptCount val="14"/>
                <c:pt idx="0">
                  <c:v>1</c:v>
                </c:pt>
                <c:pt idx="1">
                  <c:v>6</c:v>
                </c:pt>
                <c:pt idx="2">
                  <c:v>13</c:v>
                </c:pt>
                <c:pt idx="3">
                  <c:v>9</c:v>
                </c:pt>
                <c:pt idx="4">
                  <c:v>10</c:v>
                </c:pt>
                <c:pt idx="5">
                  <c:v>10</c:v>
                </c:pt>
                <c:pt idx="6">
                  <c:v>6</c:v>
                </c:pt>
                <c:pt idx="7">
                  <c:v>9</c:v>
                </c:pt>
                <c:pt idx="8">
                  <c:v>11</c:v>
                </c:pt>
                <c:pt idx="9">
                  <c:v>18</c:v>
                </c:pt>
                <c:pt idx="10">
                  <c:v>13</c:v>
                </c:pt>
                <c:pt idx="11">
                  <c:v>9</c:v>
                </c:pt>
                <c:pt idx="12">
                  <c:v>5</c:v>
                </c:pt>
                <c:pt idx="13">
                  <c:v>5</c:v>
                </c:pt>
              </c:numCache>
            </c:numRef>
          </c:val>
          <c:smooth val="0"/>
          <c:extLst>
            <c:ext xmlns:c16="http://schemas.microsoft.com/office/drawing/2014/chart" uri="{C3380CC4-5D6E-409C-BE32-E72D297353CC}">
              <c16:uniqueId val="{00000002-482F-4CA9-A8DF-910072BB05A1}"/>
            </c:ext>
          </c:extLst>
        </c:ser>
        <c:ser>
          <c:idx val="3"/>
          <c:order val="3"/>
          <c:tx>
            <c:strRef>
              <c:f>'KT kraje'!$E$3:$E$4</c:f>
              <c:strCache>
                <c:ptCount val="1"/>
                <c:pt idx="0">
                  <c:v>Karlovarský kraj</c:v>
                </c:pt>
              </c:strCache>
            </c:strRef>
          </c:tx>
          <c:spPr>
            <a:ln w="28575" cap="rnd">
              <a:solidFill>
                <a:schemeClr val="accent4"/>
              </a:solidFill>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kraje'!$E$5:$E$19</c:f>
              <c:numCache>
                <c:formatCode>General</c:formatCode>
                <c:ptCount val="14"/>
                <c:pt idx="0">
                  <c:v>25</c:v>
                </c:pt>
                <c:pt idx="1">
                  <c:v>19</c:v>
                </c:pt>
                <c:pt idx="2">
                  <c:v>8</c:v>
                </c:pt>
                <c:pt idx="3">
                  <c:v>7</c:v>
                </c:pt>
                <c:pt idx="4">
                  <c:v>2</c:v>
                </c:pt>
                <c:pt idx="5">
                  <c:v>2</c:v>
                </c:pt>
                <c:pt idx="6">
                  <c:v>5</c:v>
                </c:pt>
                <c:pt idx="7">
                  <c:v>2</c:v>
                </c:pt>
                <c:pt idx="8">
                  <c:v>4</c:v>
                </c:pt>
                <c:pt idx="9">
                  <c:v>2</c:v>
                </c:pt>
                <c:pt idx="10">
                  <c:v>6</c:v>
                </c:pt>
                <c:pt idx="11">
                  <c:v>7</c:v>
                </c:pt>
                <c:pt idx="12">
                  <c:v>18</c:v>
                </c:pt>
                <c:pt idx="13">
                  <c:v>18</c:v>
                </c:pt>
              </c:numCache>
            </c:numRef>
          </c:val>
          <c:smooth val="0"/>
          <c:extLst>
            <c:ext xmlns:c16="http://schemas.microsoft.com/office/drawing/2014/chart" uri="{C3380CC4-5D6E-409C-BE32-E72D297353CC}">
              <c16:uniqueId val="{00000003-482F-4CA9-A8DF-910072BB05A1}"/>
            </c:ext>
          </c:extLst>
        </c:ser>
        <c:ser>
          <c:idx val="4"/>
          <c:order val="4"/>
          <c:tx>
            <c:strRef>
              <c:f>'KT kraje'!$F$3:$F$4</c:f>
              <c:strCache>
                <c:ptCount val="1"/>
                <c:pt idx="0">
                  <c:v>Ústecký kraj</c:v>
                </c:pt>
              </c:strCache>
            </c:strRef>
          </c:tx>
          <c:spPr>
            <a:ln w="28575" cap="rnd">
              <a:solidFill>
                <a:schemeClr val="accent5"/>
              </a:solidFill>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kraje'!$F$5:$F$19</c:f>
              <c:numCache>
                <c:formatCode>General</c:formatCode>
                <c:ptCount val="14"/>
                <c:pt idx="0">
                  <c:v>20</c:v>
                </c:pt>
                <c:pt idx="1">
                  <c:v>14</c:v>
                </c:pt>
                <c:pt idx="2">
                  <c:v>5</c:v>
                </c:pt>
                <c:pt idx="3">
                  <c:v>6</c:v>
                </c:pt>
                <c:pt idx="4">
                  <c:v>8</c:v>
                </c:pt>
                <c:pt idx="5">
                  <c:v>7</c:v>
                </c:pt>
                <c:pt idx="6">
                  <c:v>6</c:v>
                </c:pt>
                <c:pt idx="7">
                  <c:v>4</c:v>
                </c:pt>
                <c:pt idx="8">
                  <c:v>2</c:v>
                </c:pt>
                <c:pt idx="9">
                  <c:v>8</c:v>
                </c:pt>
                <c:pt idx="10">
                  <c:v>6</c:v>
                </c:pt>
                <c:pt idx="11">
                  <c:v>8</c:v>
                </c:pt>
                <c:pt idx="12">
                  <c:v>15</c:v>
                </c:pt>
                <c:pt idx="13">
                  <c:v>16</c:v>
                </c:pt>
              </c:numCache>
            </c:numRef>
          </c:val>
          <c:smooth val="0"/>
          <c:extLst>
            <c:ext xmlns:c16="http://schemas.microsoft.com/office/drawing/2014/chart" uri="{C3380CC4-5D6E-409C-BE32-E72D297353CC}">
              <c16:uniqueId val="{00000004-482F-4CA9-A8DF-910072BB05A1}"/>
            </c:ext>
          </c:extLst>
        </c:ser>
        <c:ser>
          <c:idx val="5"/>
          <c:order val="5"/>
          <c:tx>
            <c:strRef>
              <c:f>'KT kraje'!$G$3:$G$4</c:f>
              <c:strCache>
                <c:ptCount val="1"/>
                <c:pt idx="0">
                  <c:v>Liberecký kraj</c:v>
                </c:pt>
              </c:strCache>
            </c:strRef>
          </c:tx>
          <c:spPr>
            <a:ln w="28575" cap="rnd">
              <a:solidFill>
                <a:schemeClr val="accent6"/>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kraje'!$G$5:$G$19</c:f>
              <c:numCache>
                <c:formatCode>General</c:formatCode>
                <c:ptCount val="14"/>
                <c:pt idx="0">
                  <c:v>3</c:v>
                </c:pt>
                <c:pt idx="1">
                  <c:v>5</c:v>
                </c:pt>
                <c:pt idx="2">
                  <c:v>7</c:v>
                </c:pt>
                <c:pt idx="3">
                  <c:v>10</c:v>
                </c:pt>
                <c:pt idx="4">
                  <c:v>22</c:v>
                </c:pt>
                <c:pt idx="5">
                  <c:v>10</c:v>
                </c:pt>
                <c:pt idx="6">
                  <c:v>4</c:v>
                </c:pt>
                <c:pt idx="7">
                  <c:v>4</c:v>
                </c:pt>
                <c:pt idx="8">
                  <c:v>8</c:v>
                </c:pt>
                <c:pt idx="9">
                  <c:v>10</c:v>
                </c:pt>
                <c:pt idx="10">
                  <c:v>13</c:v>
                </c:pt>
                <c:pt idx="11">
                  <c:v>13</c:v>
                </c:pt>
                <c:pt idx="12">
                  <c:v>5</c:v>
                </c:pt>
                <c:pt idx="13">
                  <c:v>11</c:v>
                </c:pt>
              </c:numCache>
            </c:numRef>
          </c:val>
          <c:smooth val="0"/>
          <c:extLst>
            <c:ext xmlns:c16="http://schemas.microsoft.com/office/drawing/2014/chart" uri="{C3380CC4-5D6E-409C-BE32-E72D297353CC}">
              <c16:uniqueId val="{00000005-482F-4CA9-A8DF-910072BB05A1}"/>
            </c:ext>
          </c:extLst>
        </c:ser>
        <c:ser>
          <c:idx val="6"/>
          <c:order val="6"/>
          <c:tx>
            <c:strRef>
              <c:f>'KT kraje'!$H$3:$H$4</c:f>
              <c:strCache>
                <c:ptCount val="1"/>
                <c:pt idx="0">
                  <c:v>Královéhradecký kraj</c:v>
                </c:pt>
              </c:strCache>
            </c:strRef>
          </c:tx>
          <c:spPr>
            <a:ln w="28575" cap="rnd">
              <a:solidFill>
                <a:schemeClr val="accent1">
                  <a:lumMod val="6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kraje'!$H$5:$H$19</c:f>
              <c:numCache>
                <c:formatCode>General</c:formatCode>
                <c:ptCount val="14"/>
                <c:pt idx="0">
                  <c:v>2</c:v>
                </c:pt>
                <c:pt idx="1">
                  <c:v>5</c:v>
                </c:pt>
                <c:pt idx="2">
                  <c:v>11</c:v>
                </c:pt>
                <c:pt idx="3">
                  <c:v>8</c:v>
                </c:pt>
                <c:pt idx="4">
                  <c:v>18</c:v>
                </c:pt>
                <c:pt idx="5">
                  <c:v>8</c:v>
                </c:pt>
                <c:pt idx="6">
                  <c:v>15</c:v>
                </c:pt>
                <c:pt idx="7">
                  <c:v>10</c:v>
                </c:pt>
                <c:pt idx="8">
                  <c:v>18</c:v>
                </c:pt>
                <c:pt idx="9">
                  <c:v>11</c:v>
                </c:pt>
                <c:pt idx="10">
                  <c:v>6</c:v>
                </c:pt>
                <c:pt idx="11">
                  <c:v>9</c:v>
                </c:pt>
                <c:pt idx="12">
                  <c:v>4</c:v>
                </c:pt>
              </c:numCache>
            </c:numRef>
          </c:val>
          <c:smooth val="0"/>
          <c:extLst>
            <c:ext xmlns:c16="http://schemas.microsoft.com/office/drawing/2014/chart" uri="{C3380CC4-5D6E-409C-BE32-E72D297353CC}">
              <c16:uniqueId val="{00000006-482F-4CA9-A8DF-910072BB05A1}"/>
            </c:ext>
          </c:extLst>
        </c:ser>
        <c:ser>
          <c:idx val="7"/>
          <c:order val="7"/>
          <c:tx>
            <c:strRef>
              <c:f>'KT kraje'!$I$3:$I$4</c:f>
              <c:strCache>
                <c:ptCount val="1"/>
                <c:pt idx="0">
                  <c:v>Pardubický kraj</c:v>
                </c:pt>
              </c:strCache>
            </c:strRef>
          </c:tx>
          <c:spPr>
            <a:ln w="28575" cap="rnd">
              <a:solidFill>
                <a:schemeClr val="accent2">
                  <a:lumMod val="6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kraje'!$I$5:$I$19</c:f>
              <c:numCache>
                <c:formatCode>General</c:formatCode>
                <c:ptCount val="14"/>
                <c:pt idx="0">
                  <c:v>6</c:v>
                </c:pt>
                <c:pt idx="1">
                  <c:v>4</c:v>
                </c:pt>
                <c:pt idx="2">
                  <c:v>10</c:v>
                </c:pt>
                <c:pt idx="3">
                  <c:v>13</c:v>
                </c:pt>
                <c:pt idx="4">
                  <c:v>9</c:v>
                </c:pt>
                <c:pt idx="5">
                  <c:v>5</c:v>
                </c:pt>
                <c:pt idx="6">
                  <c:v>10</c:v>
                </c:pt>
                <c:pt idx="7">
                  <c:v>11</c:v>
                </c:pt>
                <c:pt idx="8">
                  <c:v>17</c:v>
                </c:pt>
                <c:pt idx="9">
                  <c:v>14</c:v>
                </c:pt>
                <c:pt idx="10">
                  <c:v>12</c:v>
                </c:pt>
                <c:pt idx="11">
                  <c:v>6</c:v>
                </c:pt>
                <c:pt idx="12">
                  <c:v>6</c:v>
                </c:pt>
                <c:pt idx="13">
                  <c:v>2</c:v>
                </c:pt>
              </c:numCache>
            </c:numRef>
          </c:val>
          <c:smooth val="0"/>
          <c:extLst>
            <c:ext xmlns:c16="http://schemas.microsoft.com/office/drawing/2014/chart" uri="{C3380CC4-5D6E-409C-BE32-E72D297353CC}">
              <c16:uniqueId val="{00000007-482F-4CA9-A8DF-910072BB05A1}"/>
            </c:ext>
          </c:extLst>
        </c:ser>
        <c:ser>
          <c:idx val="8"/>
          <c:order val="8"/>
          <c:tx>
            <c:strRef>
              <c:f>'KT kraje'!$J$3:$J$4</c:f>
              <c:strCache>
                <c:ptCount val="1"/>
                <c:pt idx="0">
                  <c:v>Kraj Vysočina</c:v>
                </c:pt>
              </c:strCache>
            </c:strRef>
          </c:tx>
          <c:spPr>
            <a:ln w="28575" cap="rnd">
              <a:solidFill>
                <a:schemeClr val="accent3">
                  <a:lumMod val="6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kraje'!$J$5:$J$19</c:f>
              <c:numCache>
                <c:formatCode>General</c:formatCode>
                <c:ptCount val="14"/>
                <c:pt idx="0">
                  <c:v>7</c:v>
                </c:pt>
                <c:pt idx="1">
                  <c:v>8</c:v>
                </c:pt>
                <c:pt idx="2">
                  <c:v>12</c:v>
                </c:pt>
                <c:pt idx="3">
                  <c:v>10</c:v>
                </c:pt>
                <c:pt idx="4">
                  <c:v>11</c:v>
                </c:pt>
                <c:pt idx="5">
                  <c:v>11</c:v>
                </c:pt>
                <c:pt idx="6">
                  <c:v>6</c:v>
                </c:pt>
                <c:pt idx="7">
                  <c:v>8</c:v>
                </c:pt>
                <c:pt idx="8">
                  <c:v>9</c:v>
                </c:pt>
                <c:pt idx="9">
                  <c:v>9</c:v>
                </c:pt>
                <c:pt idx="10">
                  <c:v>10</c:v>
                </c:pt>
                <c:pt idx="11">
                  <c:v>5</c:v>
                </c:pt>
                <c:pt idx="12">
                  <c:v>8</c:v>
                </c:pt>
                <c:pt idx="13">
                  <c:v>11</c:v>
                </c:pt>
              </c:numCache>
            </c:numRef>
          </c:val>
          <c:smooth val="0"/>
          <c:extLst>
            <c:ext xmlns:c16="http://schemas.microsoft.com/office/drawing/2014/chart" uri="{C3380CC4-5D6E-409C-BE32-E72D297353CC}">
              <c16:uniqueId val="{00000008-482F-4CA9-A8DF-910072BB05A1}"/>
            </c:ext>
          </c:extLst>
        </c:ser>
        <c:ser>
          <c:idx val="9"/>
          <c:order val="9"/>
          <c:tx>
            <c:strRef>
              <c:f>'KT kraje'!$K$3:$K$4</c:f>
              <c:strCache>
                <c:ptCount val="1"/>
                <c:pt idx="0">
                  <c:v>Jihomoravský kraj</c:v>
                </c:pt>
              </c:strCache>
            </c:strRef>
          </c:tx>
          <c:spPr>
            <a:ln w="28575" cap="rnd">
              <a:solidFill>
                <a:schemeClr val="accent4">
                  <a:lumMod val="6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kraje'!$K$5:$K$19</c:f>
              <c:numCache>
                <c:formatCode>General</c:formatCode>
                <c:ptCount val="14"/>
                <c:pt idx="0">
                  <c:v>4</c:v>
                </c:pt>
                <c:pt idx="1">
                  <c:v>13</c:v>
                </c:pt>
                <c:pt idx="2">
                  <c:v>8</c:v>
                </c:pt>
                <c:pt idx="3">
                  <c:v>7</c:v>
                </c:pt>
                <c:pt idx="4">
                  <c:v>9</c:v>
                </c:pt>
                <c:pt idx="5">
                  <c:v>12</c:v>
                </c:pt>
                <c:pt idx="6">
                  <c:v>13</c:v>
                </c:pt>
                <c:pt idx="7">
                  <c:v>9</c:v>
                </c:pt>
                <c:pt idx="8">
                  <c:v>16</c:v>
                </c:pt>
                <c:pt idx="9">
                  <c:v>5</c:v>
                </c:pt>
                <c:pt idx="10">
                  <c:v>6</c:v>
                </c:pt>
                <c:pt idx="11">
                  <c:v>16</c:v>
                </c:pt>
                <c:pt idx="12">
                  <c:v>6</c:v>
                </c:pt>
                <c:pt idx="13">
                  <c:v>1</c:v>
                </c:pt>
              </c:numCache>
            </c:numRef>
          </c:val>
          <c:smooth val="0"/>
          <c:extLst>
            <c:ext xmlns:c16="http://schemas.microsoft.com/office/drawing/2014/chart" uri="{C3380CC4-5D6E-409C-BE32-E72D297353CC}">
              <c16:uniqueId val="{00000009-482F-4CA9-A8DF-910072BB05A1}"/>
            </c:ext>
          </c:extLst>
        </c:ser>
        <c:ser>
          <c:idx val="10"/>
          <c:order val="10"/>
          <c:tx>
            <c:strRef>
              <c:f>'KT kraje'!$L$3:$L$4</c:f>
              <c:strCache>
                <c:ptCount val="1"/>
                <c:pt idx="0">
                  <c:v>Olomoucký kraj</c:v>
                </c:pt>
              </c:strCache>
            </c:strRef>
          </c:tx>
          <c:spPr>
            <a:ln w="28575" cap="rnd">
              <a:solidFill>
                <a:schemeClr val="accent5">
                  <a:lumMod val="6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kraje'!$L$5:$L$19</c:f>
              <c:numCache>
                <c:formatCode>General</c:formatCode>
                <c:ptCount val="14"/>
                <c:pt idx="0">
                  <c:v>11</c:v>
                </c:pt>
                <c:pt idx="1">
                  <c:v>7</c:v>
                </c:pt>
                <c:pt idx="2">
                  <c:v>9</c:v>
                </c:pt>
                <c:pt idx="3">
                  <c:v>9</c:v>
                </c:pt>
                <c:pt idx="4">
                  <c:v>8</c:v>
                </c:pt>
                <c:pt idx="5">
                  <c:v>11</c:v>
                </c:pt>
                <c:pt idx="6">
                  <c:v>18</c:v>
                </c:pt>
                <c:pt idx="7">
                  <c:v>9</c:v>
                </c:pt>
                <c:pt idx="8">
                  <c:v>11</c:v>
                </c:pt>
                <c:pt idx="9">
                  <c:v>8</c:v>
                </c:pt>
                <c:pt idx="10">
                  <c:v>8</c:v>
                </c:pt>
                <c:pt idx="11">
                  <c:v>7</c:v>
                </c:pt>
                <c:pt idx="12">
                  <c:v>4</c:v>
                </c:pt>
                <c:pt idx="13">
                  <c:v>5</c:v>
                </c:pt>
              </c:numCache>
            </c:numRef>
          </c:val>
          <c:smooth val="0"/>
          <c:extLst>
            <c:ext xmlns:c16="http://schemas.microsoft.com/office/drawing/2014/chart" uri="{C3380CC4-5D6E-409C-BE32-E72D297353CC}">
              <c16:uniqueId val="{0000000A-482F-4CA9-A8DF-910072BB05A1}"/>
            </c:ext>
          </c:extLst>
        </c:ser>
        <c:ser>
          <c:idx val="11"/>
          <c:order val="11"/>
          <c:tx>
            <c:strRef>
              <c:f>'KT kraje'!$M$3:$M$4</c:f>
              <c:strCache>
                <c:ptCount val="1"/>
                <c:pt idx="0">
                  <c:v>Zlínský kraj</c:v>
                </c:pt>
              </c:strCache>
            </c:strRef>
          </c:tx>
          <c:spPr>
            <a:ln w="28575" cap="rnd">
              <a:solidFill>
                <a:schemeClr val="accent6">
                  <a:lumMod val="6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kraje'!$M$5:$M$19</c:f>
              <c:numCache>
                <c:formatCode>General</c:formatCode>
                <c:ptCount val="14"/>
                <c:pt idx="0">
                  <c:v>8</c:v>
                </c:pt>
                <c:pt idx="1">
                  <c:v>12</c:v>
                </c:pt>
                <c:pt idx="2">
                  <c:v>8</c:v>
                </c:pt>
                <c:pt idx="3">
                  <c:v>11</c:v>
                </c:pt>
                <c:pt idx="4">
                  <c:v>11</c:v>
                </c:pt>
                <c:pt idx="5">
                  <c:v>13</c:v>
                </c:pt>
                <c:pt idx="6">
                  <c:v>9</c:v>
                </c:pt>
                <c:pt idx="7">
                  <c:v>6</c:v>
                </c:pt>
                <c:pt idx="8">
                  <c:v>3</c:v>
                </c:pt>
                <c:pt idx="9">
                  <c:v>6</c:v>
                </c:pt>
                <c:pt idx="10">
                  <c:v>6</c:v>
                </c:pt>
                <c:pt idx="11">
                  <c:v>10</c:v>
                </c:pt>
                <c:pt idx="12">
                  <c:v>12</c:v>
                </c:pt>
                <c:pt idx="13">
                  <c:v>10</c:v>
                </c:pt>
              </c:numCache>
            </c:numRef>
          </c:val>
          <c:smooth val="0"/>
          <c:extLst>
            <c:ext xmlns:c16="http://schemas.microsoft.com/office/drawing/2014/chart" uri="{C3380CC4-5D6E-409C-BE32-E72D297353CC}">
              <c16:uniqueId val="{0000000B-482F-4CA9-A8DF-910072BB05A1}"/>
            </c:ext>
          </c:extLst>
        </c:ser>
        <c:ser>
          <c:idx val="12"/>
          <c:order val="12"/>
          <c:tx>
            <c:strRef>
              <c:f>'KT kraje'!$N$3:$N$4</c:f>
              <c:strCache>
                <c:ptCount val="1"/>
                <c:pt idx="0">
                  <c:v>Moravskoslezský kraj</c:v>
                </c:pt>
              </c:strCache>
            </c:strRef>
          </c:tx>
          <c:spPr>
            <a:ln w="28575" cap="rnd">
              <a:solidFill>
                <a:schemeClr val="accent1">
                  <a:lumMod val="80000"/>
                  <a:lumOff val="20000"/>
                </a:schemeClr>
              </a:solidFill>
              <a:prstDash val="sysDot"/>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kraje'!$N$5:$N$19</c:f>
              <c:numCache>
                <c:formatCode>General</c:formatCode>
                <c:ptCount val="14"/>
                <c:pt idx="0">
                  <c:v>2</c:v>
                </c:pt>
                <c:pt idx="1">
                  <c:v>11</c:v>
                </c:pt>
                <c:pt idx="2">
                  <c:v>12</c:v>
                </c:pt>
                <c:pt idx="3">
                  <c:v>14</c:v>
                </c:pt>
                <c:pt idx="4">
                  <c:v>14</c:v>
                </c:pt>
                <c:pt idx="5">
                  <c:v>13</c:v>
                </c:pt>
                <c:pt idx="6">
                  <c:v>6</c:v>
                </c:pt>
                <c:pt idx="7">
                  <c:v>14</c:v>
                </c:pt>
                <c:pt idx="8">
                  <c:v>5</c:v>
                </c:pt>
                <c:pt idx="9">
                  <c:v>6</c:v>
                </c:pt>
                <c:pt idx="10">
                  <c:v>13</c:v>
                </c:pt>
                <c:pt idx="11">
                  <c:v>11</c:v>
                </c:pt>
                <c:pt idx="12">
                  <c:v>3</c:v>
                </c:pt>
                <c:pt idx="13">
                  <c:v>1</c:v>
                </c:pt>
              </c:numCache>
            </c:numRef>
          </c:val>
          <c:smooth val="0"/>
          <c:extLst>
            <c:ext xmlns:c16="http://schemas.microsoft.com/office/drawing/2014/chart" uri="{C3380CC4-5D6E-409C-BE32-E72D297353CC}">
              <c16:uniqueId val="{0000000C-482F-4CA9-A8DF-910072BB05A1}"/>
            </c:ext>
          </c:extLst>
        </c:ser>
        <c:ser>
          <c:idx val="13"/>
          <c:order val="13"/>
          <c:tx>
            <c:strRef>
              <c:f>'KT kraje'!$O$3:$O$4</c:f>
              <c:strCache>
                <c:ptCount val="1"/>
                <c:pt idx="0">
                  <c:v>Hl. m. Praha</c:v>
                </c:pt>
              </c:strCache>
            </c:strRef>
          </c:tx>
          <c:spPr>
            <a:ln w="28575" cap="rnd">
              <a:solidFill>
                <a:schemeClr val="accent2">
                  <a:lumMod val="80000"/>
                  <a:lumOff val="20000"/>
                </a:schemeClr>
              </a:solidFill>
              <a:round/>
            </a:ln>
            <a:effectLst/>
          </c:spPr>
          <c:marker>
            <c:symbol val="none"/>
          </c:marker>
          <c:cat>
            <c:strRef>
              <c:f>'KT kraje'!$A$5:$A$19</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'KT kraje'!$O$5:$O$19</c:f>
              <c:numCache>
                <c:formatCode>General</c:formatCode>
                <c:ptCount val="14"/>
                <c:pt idx="0">
                  <c:v>33</c:v>
                </c:pt>
                <c:pt idx="1">
                  <c:v>6</c:v>
                </c:pt>
                <c:pt idx="2">
                  <c:v>4</c:v>
                </c:pt>
                <c:pt idx="3">
                  <c:v>3</c:v>
                </c:pt>
                <c:pt idx="4">
                  <c:v>2</c:v>
                </c:pt>
                <c:pt idx="5">
                  <c:v>3</c:v>
                </c:pt>
                <c:pt idx="6">
                  <c:v>3</c:v>
                </c:pt>
                <c:pt idx="7">
                  <c:v>5</c:v>
                </c:pt>
                <c:pt idx="8">
                  <c:v>1</c:v>
                </c:pt>
                <c:pt idx="9">
                  <c:v>5</c:v>
                </c:pt>
                <c:pt idx="10">
                  <c:v>8</c:v>
                </c:pt>
                <c:pt idx="11">
                  <c:v>5</c:v>
                </c:pt>
                <c:pt idx="12">
                  <c:v>16</c:v>
                </c:pt>
                <c:pt idx="13">
                  <c:v>31</c:v>
                </c:pt>
              </c:numCache>
            </c:numRef>
          </c:val>
          <c:smooth val="0"/>
          <c:extLst>
            <c:ext xmlns:c16="http://schemas.microsoft.com/office/drawing/2014/chart" uri="{C3380CC4-5D6E-409C-BE32-E72D297353CC}">
              <c16:uniqueId val="{0000000D-482F-4CA9-A8DF-910072BB05A1}"/>
            </c:ext>
          </c:extLst>
        </c:ser>
        <c:dLbls>
          <c:showLegendKey val="0"/>
          <c:showVal val="0"/>
          <c:showCatName val="0"/>
          <c:showSerName val="0"/>
          <c:showPercent val="0"/>
          <c:showBubbleSize val="0"/>
        </c:dLbls>
        <c:smooth val="0"/>
        <c:axId val="1140294688"/>
        <c:axId val="1140293728"/>
      </c:lineChart>
      <c:catAx>
        <c:axId val="1140294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Pořadí hodnocení v rámci</a:t>
                </a:r>
                <a:r>
                  <a:rPr lang="cs-CZ" baseline="0"/>
                  <a:t> krajů</a:t>
                </a:r>
                <a:endParaRPr lang="cs-CZ"/>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40293728"/>
        <c:crosses val="autoZero"/>
        <c:auto val="1"/>
        <c:lblAlgn val="ctr"/>
        <c:lblOffset val="100"/>
        <c:noMultiLvlLbl val="0"/>
      </c:catAx>
      <c:valAx>
        <c:axId val="114029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Počet indikátorů</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40294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4b7f9-e3ee-43c2-949c-e36816f2a2d5">
      <Terms xmlns="http://schemas.microsoft.com/office/infopath/2007/PartnerControls"/>
    </lcf76f155ced4ddcb4097134ff3c332f>
    <TaxCatchAll xmlns="f999670f-2a3f-4325-aa6f-19973f59f5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18" ma:contentTypeDescription="Vytvoří nový dokument" ma:contentTypeScope="" ma:versionID="1be67c510ac22fe65a79e8bf0ac60385">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1e5171dc738a90f2ecd09b75acc38439" ns2:_="" ns3:_="">
    <xsd:import namespace="dd24b7f9-e3ee-43c2-949c-e36816f2a2d5"/>
    <xsd:import namespace="f999670f-2a3f-4325-aa6f-19973f59f5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88ec7be-ec26-4c0a-b38f-9a8ea9f8d3b6}" ma:internalName="TaxCatchAll" ma:showField="CatchAllData" ma:web="f999670f-2a3f-4325-aa6f-19973f59f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FA4B-B5DB-491D-AA32-4732233C7423}">
  <ds:schemaRefs>
    <ds:schemaRef ds:uri="http://schemas.microsoft.com/office/2006/metadata/properties"/>
    <ds:schemaRef ds:uri="http://schemas.microsoft.com/office/infopath/2007/PartnerControls"/>
    <ds:schemaRef ds:uri="dd24b7f9-e3ee-43c2-949c-e36816f2a2d5"/>
    <ds:schemaRef ds:uri="f999670f-2a3f-4325-aa6f-19973f59f571"/>
  </ds:schemaRefs>
</ds:datastoreItem>
</file>

<file path=customXml/itemProps2.xml><?xml version="1.0" encoding="utf-8"?>
<ds:datastoreItem xmlns:ds="http://schemas.openxmlformats.org/officeDocument/2006/customXml" ds:itemID="{CD37CE5A-BEFD-497C-8C5B-1882A8D65704}">
  <ds:schemaRefs>
    <ds:schemaRef ds:uri="http://schemas.microsoft.com/sharepoint/v3/contenttype/forms"/>
  </ds:schemaRefs>
</ds:datastoreItem>
</file>

<file path=customXml/itemProps3.xml><?xml version="1.0" encoding="utf-8"?>
<ds:datastoreItem xmlns:ds="http://schemas.openxmlformats.org/officeDocument/2006/customXml" ds:itemID="{6A43D65C-9D82-4D72-AF7C-88280407B049}"/>
</file>

<file path=customXml/itemProps4.xml><?xml version="1.0" encoding="utf-8"?>
<ds:datastoreItem xmlns:ds="http://schemas.openxmlformats.org/officeDocument/2006/customXml" ds:itemID="{7ED4D639-34E1-4884-A708-DC6BE480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50</Pages>
  <Words>14833</Words>
  <Characters>87515</Characters>
  <Application>Microsoft Office Word</Application>
  <DocSecurity>0</DocSecurity>
  <Lines>729</Lines>
  <Paragraphs>204</Paragraphs>
  <ScaleCrop>false</ScaleCrop>
  <HeadingPairs>
    <vt:vector size="2" baseType="variant">
      <vt:variant>
        <vt:lpstr>Název</vt:lpstr>
      </vt:variant>
      <vt:variant>
        <vt:i4>1</vt:i4>
      </vt:variant>
    </vt:vector>
  </HeadingPairs>
  <TitlesOfParts>
    <vt:vector size="1" baseType="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102144</CharactersWithSpaces>
  <SharedDoc>false</SharedDoc>
  <HLinks>
    <vt:vector size="72" baseType="variant">
      <vt:variant>
        <vt:i4>1048626</vt:i4>
      </vt:variant>
      <vt:variant>
        <vt:i4>68</vt:i4>
      </vt:variant>
      <vt:variant>
        <vt:i4>0</vt:i4>
      </vt:variant>
      <vt:variant>
        <vt:i4>5</vt:i4>
      </vt:variant>
      <vt:variant>
        <vt:lpwstr/>
      </vt:variant>
      <vt:variant>
        <vt:lpwstr>_Toc211796875</vt:lpwstr>
      </vt:variant>
      <vt:variant>
        <vt:i4>1048626</vt:i4>
      </vt:variant>
      <vt:variant>
        <vt:i4>62</vt:i4>
      </vt:variant>
      <vt:variant>
        <vt:i4>0</vt:i4>
      </vt:variant>
      <vt:variant>
        <vt:i4>5</vt:i4>
      </vt:variant>
      <vt:variant>
        <vt:lpwstr/>
      </vt:variant>
      <vt:variant>
        <vt:lpwstr>_Toc211796874</vt:lpwstr>
      </vt:variant>
      <vt:variant>
        <vt:i4>1048626</vt:i4>
      </vt:variant>
      <vt:variant>
        <vt:i4>56</vt:i4>
      </vt:variant>
      <vt:variant>
        <vt:i4>0</vt:i4>
      </vt:variant>
      <vt:variant>
        <vt:i4>5</vt:i4>
      </vt:variant>
      <vt:variant>
        <vt:lpwstr/>
      </vt:variant>
      <vt:variant>
        <vt:lpwstr>_Toc211796873</vt:lpwstr>
      </vt:variant>
      <vt:variant>
        <vt:i4>1048626</vt:i4>
      </vt:variant>
      <vt:variant>
        <vt:i4>50</vt:i4>
      </vt:variant>
      <vt:variant>
        <vt:i4>0</vt:i4>
      </vt:variant>
      <vt:variant>
        <vt:i4>5</vt:i4>
      </vt:variant>
      <vt:variant>
        <vt:lpwstr/>
      </vt:variant>
      <vt:variant>
        <vt:lpwstr>_Toc211796872</vt:lpwstr>
      </vt:variant>
      <vt:variant>
        <vt:i4>1048626</vt:i4>
      </vt:variant>
      <vt:variant>
        <vt:i4>44</vt:i4>
      </vt:variant>
      <vt:variant>
        <vt:i4>0</vt:i4>
      </vt:variant>
      <vt:variant>
        <vt:i4>5</vt:i4>
      </vt:variant>
      <vt:variant>
        <vt:lpwstr/>
      </vt:variant>
      <vt:variant>
        <vt:lpwstr>_Toc211796871</vt:lpwstr>
      </vt:variant>
      <vt:variant>
        <vt:i4>1048626</vt:i4>
      </vt:variant>
      <vt:variant>
        <vt:i4>38</vt:i4>
      </vt:variant>
      <vt:variant>
        <vt:i4>0</vt:i4>
      </vt:variant>
      <vt:variant>
        <vt:i4>5</vt:i4>
      </vt:variant>
      <vt:variant>
        <vt:lpwstr/>
      </vt:variant>
      <vt:variant>
        <vt:lpwstr>_Toc211796870</vt:lpwstr>
      </vt:variant>
      <vt:variant>
        <vt:i4>1114162</vt:i4>
      </vt:variant>
      <vt:variant>
        <vt:i4>32</vt:i4>
      </vt:variant>
      <vt:variant>
        <vt:i4>0</vt:i4>
      </vt:variant>
      <vt:variant>
        <vt:i4>5</vt:i4>
      </vt:variant>
      <vt:variant>
        <vt:lpwstr/>
      </vt:variant>
      <vt:variant>
        <vt:lpwstr>_Toc211796869</vt:lpwstr>
      </vt:variant>
      <vt:variant>
        <vt:i4>1114162</vt:i4>
      </vt:variant>
      <vt:variant>
        <vt:i4>26</vt:i4>
      </vt:variant>
      <vt:variant>
        <vt:i4>0</vt:i4>
      </vt:variant>
      <vt:variant>
        <vt:i4>5</vt:i4>
      </vt:variant>
      <vt:variant>
        <vt:lpwstr/>
      </vt:variant>
      <vt:variant>
        <vt:lpwstr>_Toc211796868</vt:lpwstr>
      </vt:variant>
      <vt:variant>
        <vt:i4>1114162</vt:i4>
      </vt:variant>
      <vt:variant>
        <vt:i4>20</vt:i4>
      </vt:variant>
      <vt:variant>
        <vt:i4>0</vt:i4>
      </vt:variant>
      <vt:variant>
        <vt:i4>5</vt:i4>
      </vt:variant>
      <vt:variant>
        <vt:lpwstr/>
      </vt:variant>
      <vt:variant>
        <vt:lpwstr>_Toc211796867</vt:lpwstr>
      </vt:variant>
      <vt:variant>
        <vt:i4>1114162</vt:i4>
      </vt:variant>
      <vt:variant>
        <vt:i4>14</vt:i4>
      </vt:variant>
      <vt:variant>
        <vt:i4>0</vt:i4>
      </vt:variant>
      <vt:variant>
        <vt:i4>5</vt:i4>
      </vt:variant>
      <vt:variant>
        <vt:lpwstr/>
      </vt:variant>
      <vt:variant>
        <vt:lpwstr>_Toc211796866</vt:lpwstr>
      </vt:variant>
      <vt:variant>
        <vt:i4>1114162</vt:i4>
      </vt:variant>
      <vt:variant>
        <vt:i4>8</vt:i4>
      </vt:variant>
      <vt:variant>
        <vt:i4>0</vt:i4>
      </vt:variant>
      <vt:variant>
        <vt:i4>5</vt:i4>
      </vt:variant>
      <vt:variant>
        <vt:lpwstr/>
      </vt:variant>
      <vt:variant>
        <vt:lpwstr>_Toc211796865</vt:lpwstr>
      </vt:variant>
      <vt:variant>
        <vt:i4>1114162</vt:i4>
      </vt:variant>
      <vt:variant>
        <vt:i4>2</vt:i4>
      </vt:variant>
      <vt:variant>
        <vt:i4>0</vt:i4>
      </vt:variant>
      <vt:variant>
        <vt:i4>5</vt:i4>
      </vt:variant>
      <vt:variant>
        <vt:lpwstr/>
      </vt:variant>
      <vt:variant>
        <vt:lpwstr>_Toc211796864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subject/>
  <dc:creator>Kuchařová Veronika</dc:creator>
  <cp:keywords/>
  <dc:description/>
  <cp:lastModifiedBy>Swart Daniela</cp:lastModifiedBy>
  <cp:revision>5</cp:revision>
  <dcterms:created xsi:type="dcterms:W3CDTF">2025-10-30T08:52:00Z</dcterms:created>
  <dcterms:modified xsi:type="dcterms:W3CDTF">2025-10-30T09:31:00Z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y fmtid="{D5CDD505-2E9C-101B-9397-08002B2CF9AE}" pid="3" name="MediaServiceImageTags">
    <vt:lpwstr/>
  </property>
</Properties>
</file>