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AD9B0" w14:textId="17029CBF" w:rsidR="005C7852" w:rsidRPr="004434DF" w:rsidRDefault="005C7852" w:rsidP="005C7852">
      <w:pPr>
        <w:spacing w:after="0"/>
        <w:rPr>
          <w:rFonts w:cs="Calibri"/>
          <w:b/>
          <w:bCs/>
          <w:sz w:val="28"/>
          <w:szCs w:val="28"/>
          <w:u w:val="single"/>
        </w:rPr>
      </w:pPr>
      <w:r w:rsidRPr="004434DF">
        <w:rPr>
          <w:rFonts w:cs="Calibri"/>
          <w:b/>
          <w:bCs/>
          <w:sz w:val="28"/>
          <w:szCs w:val="28"/>
          <w:u w:val="single"/>
        </w:rPr>
        <w:t>A. Kvalitní a dostupné předškolní vzdělávání</w:t>
      </w:r>
    </w:p>
    <w:p w14:paraId="287E36CA" w14:textId="77777777" w:rsidR="005C7852" w:rsidRDefault="005C7852" w:rsidP="005C7852">
      <w:pPr>
        <w:pStyle w:val="Bezmezer"/>
      </w:pPr>
    </w:p>
    <w:tbl>
      <w:tblPr>
        <w:tblStyle w:val="Mkatabulky"/>
        <w:tblW w:w="90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6947"/>
      </w:tblGrid>
      <w:tr w:rsidR="005C7852" w:rsidRPr="0050624B" w14:paraId="2213D39B" w14:textId="77777777" w:rsidTr="008F755D">
        <w:trPr>
          <w:trHeight w:val="454"/>
        </w:trPr>
        <w:tc>
          <w:tcPr>
            <w:tcW w:w="9069" w:type="dxa"/>
            <w:gridSpan w:val="2"/>
            <w:shd w:val="clear" w:color="auto" w:fill="C1E4F5" w:themeFill="accent1" w:themeFillTint="33"/>
            <w:vAlign w:val="center"/>
          </w:tcPr>
          <w:p w14:paraId="0D08B4FC" w14:textId="77777777" w:rsidR="005C7852" w:rsidRPr="0050624B" w:rsidRDefault="005C7852" w:rsidP="008F755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</w:t>
            </w:r>
            <w:r w:rsidRPr="004434DF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 xml:space="preserve"> KVALITNÍ A DOSTUPNÉ PŘEDŠKOLNÍ VZDĚLÁVÁNÍ</w:t>
            </w:r>
          </w:p>
        </w:tc>
      </w:tr>
      <w:tr w:rsidR="005C7852" w:rsidRPr="0050624B" w14:paraId="0B1C2ECC" w14:textId="77777777" w:rsidTr="008F755D">
        <w:trPr>
          <w:trHeight w:val="454"/>
        </w:trPr>
        <w:tc>
          <w:tcPr>
            <w:tcW w:w="2122" w:type="dxa"/>
            <w:shd w:val="clear" w:color="auto" w:fill="C1E4F5" w:themeFill="accent1" w:themeFillTint="33"/>
            <w:vAlign w:val="center"/>
          </w:tcPr>
          <w:p w14:paraId="6DA9B3A7" w14:textId="77777777" w:rsidR="005C7852" w:rsidRPr="0050624B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 xml:space="preserve">Opatření </w:t>
            </w:r>
          </w:p>
        </w:tc>
        <w:tc>
          <w:tcPr>
            <w:tcW w:w="6947" w:type="dxa"/>
            <w:shd w:val="clear" w:color="auto" w:fill="C1E4F5" w:themeFill="accent1" w:themeFillTint="33"/>
            <w:vAlign w:val="center"/>
          </w:tcPr>
          <w:p w14:paraId="225DFF69" w14:textId="77777777" w:rsidR="005C7852" w:rsidRPr="0050624B" w:rsidRDefault="005C7852" w:rsidP="008F755D">
            <w:pPr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>Vyhodnocení</w:t>
            </w:r>
            <w:r>
              <w:rPr>
                <w:rFonts w:cs="Calibri"/>
                <w:b/>
                <w:bCs/>
              </w:rPr>
              <w:t xml:space="preserve"> klíčových aktivit</w:t>
            </w:r>
          </w:p>
        </w:tc>
      </w:tr>
      <w:tr w:rsidR="005C7852" w:rsidRPr="0050624B" w14:paraId="7282C088" w14:textId="77777777" w:rsidTr="008F755D">
        <w:trPr>
          <w:trHeight w:val="454"/>
        </w:trPr>
        <w:tc>
          <w:tcPr>
            <w:tcW w:w="2122" w:type="dxa"/>
            <w:vMerge w:val="restart"/>
          </w:tcPr>
          <w:p w14:paraId="533BFECE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A.1</w:t>
            </w:r>
          </w:p>
          <w:p w14:paraId="3FAB159A" w14:textId="77777777" w:rsidR="005C7852" w:rsidRPr="00941F1A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941F1A">
              <w:rPr>
                <w:rFonts w:cs="Calibri"/>
                <w:b/>
                <w:bCs/>
              </w:rPr>
              <w:t>Zajištění implementace</w:t>
            </w:r>
          </w:p>
          <w:p w14:paraId="21689CF3" w14:textId="77777777" w:rsidR="005C7852" w:rsidRPr="00941F1A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941F1A">
              <w:rPr>
                <w:rFonts w:cs="Calibri"/>
                <w:b/>
                <w:bCs/>
              </w:rPr>
              <w:t>aktualizovaného</w:t>
            </w:r>
          </w:p>
          <w:p w14:paraId="4559CE40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941F1A">
              <w:rPr>
                <w:rFonts w:cs="Calibri"/>
                <w:b/>
                <w:bCs/>
              </w:rPr>
              <w:t>RVP PV</w:t>
            </w:r>
          </w:p>
        </w:tc>
        <w:tc>
          <w:tcPr>
            <w:tcW w:w="6947" w:type="dxa"/>
          </w:tcPr>
          <w:p w14:paraId="214A3B07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>A.1.1 Podpora implementace RVP PV do škol</w:t>
            </w:r>
          </w:p>
          <w:p w14:paraId="37C743D9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5C7852" w:rsidRPr="0050624B" w14:paraId="5BA9753B" w14:textId="77777777" w:rsidTr="008F755D">
        <w:trPr>
          <w:trHeight w:val="454"/>
        </w:trPr>
        <w:tc>
          <w:tcPr>
            <w:tcW w:w="2122" w:type="dxa"/>
            <w:vMerge/>
          </w:tcPr>
          <w:p w14:paraId="1D212668" w14:textId="77777777" w:rsidR="005C7852" w:rsidRPr="0050624B" w:rsidRDefault="005C7852" w:rsidP="008F755D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7" w:type="dxa"/>
          </w:tcPr>
          <w:p w14:paraId="1BCB2725" w14:textId="77777777" w:rsidR="005C7852" w:rsidRPr="000D748A" w:rsidRDefault="005C7852" w:rsidP="008F755D">
            <w:r>
              <w:rPr>
                <w:rFonts w:cs="Calibri"/>
              </w:rPr>
              <w:t xml:space="preserve">A.1.2 </w:t>
            </w:r>
            <w:r w:rsidRPr="000D748A">
              <w:rPr>
                <w:rFonts w:cs="Calibri"/>
              </w:rPr>
              <w:t xml:space="preserve">Podpora </w:t>
            </w:r>
            <w:r>
              <w:rPr>
                <w:rFonts w:cs="Calibri"/>
              </w:rPr>
              <w:t>dalšího vzdělávání pedagogických pracovníků v PV</w:t>
            </w:r>
          </w:p>
        </w:tc>
      </w:tr>
      <w:tr w:rsidR="005C7852" w:rsidRPr="0050624B" w14:paraId="218C9F47" w14:textId="77777777" w:rsidTr="008F755D">
        <w:trPr>
          <w:trHeight w:val="454"/>
        </w:trPr>
        <w:tc>
          <w:tcPr>
            <w:tcW w:w="2122" w:type="dxa"/>
            <w:vMerge w:val="restart"/>
          </w:tcPr>
          <w:p w14:paraId="0F033A85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A.2</w:t>
            </w:r>
          </w:p>
          <w:p w14:paraId="09E8AAE1" w14:textId="77777777" w:rsidR="005C7852" w:rsidRPr="00941F1A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941F1A">
              <w:rPr>
                <w:rFonts w:cs="Calibri"/>
                <w:b/>
                <w:bCs/>
              </w:rPr>
              <w:t>Dostupné předškolní</w:t>
            </w:r>
          </w:p>
          <w:p w14:paraId="3DF033CF" w14:textId="77777777" w:rsidR="005C7852" w:rsidRPr="00941F1A" w:rsidRDefault="005C7852" w:rsidP="008F755D">
            <w:pPr>
              <w:ind w:right="-110"/>
              <w:rPr>
                <w:rFonts w:cs="Calibri"/>
                <w:b/>
                <w:bCs/>
              </w:rPr>
            </w:pPr>
            <w:r w:rsidRPr="00941F1A">
              <w:rPr>
                <w:rFonts w:cs="Calibri"/>
                <w:b/>
                <w:bCs/>
              </w:rPr>
              <w:t xml:space="preserve">vzdělávání </w:t>
            </w:r>
            <w:r>
              <w:rPr>
                <w:rFonts w:cs="Calibri"/>
                <w:b/>
                <w:bCs/>
              </w:rPr>
              <w:br/>
            </w:r>
            <w:r w:rsidRPr="00941F1A">
              <w:rPr>
                <w:rFonts w:cs="Calibri"/>
                <w:b/>
                <w:bCs/>
              </w:rPr>
              <w:t>v souladu</w:t>
            </w:r>
          </w:p>
          <w:p w14:paraId="43005D46" w14:textId="77777777" w:rsidR="005C7852" w:rsidRPr="00941F1A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941F1A">
              <w:rPr>
                <w:rFonts w:cs="Calibri"/>
                <w:b/>
                <w:bCs/>
              </w:rPr>
              <w:t>se zákonnou nárokovostí</w:t>
            </w:r>
          </w:p>
          <w:p w14:paraId="00070E71" w14:textId="77777777" w:rsidR="005C7852" w:rsidRPr="00941F1A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941F1A">
              <w:rPr>
                <w:rFonts w:cs="Calibri"/>
                <w:b/>
                <w:bCs/>
              </w:rPr>
              <w:t>od 3 let věku</w:t>
            </w:r>
          </w:p>
          <w:p w14:paraId="29C1A785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941F1A">
              <w:rPr>
                <w:rFonts w:cs="Calibri"/>
                <w:b/>
                <w:bCs/>
              </w:rPr>
              <w:t>dítěte</w:t>
            </w:r>
          </w:p>
        </w:tc>
        <w:tc>
          <w:tcPr>
            <w:tcW w:w="6947" w:type="dxa"/>
          </w:tcPr>
          <w:p w14:paraId="05446214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>A.2.1 Monitoring příčin neúčasti na PV a realizace opatření</w:t>
            </w:r>
          </w:p>
          <w:p w14:paraId="2B734254" w14:textId="77777777" w:rsidR="005C7852" w:rsidRDefault="005C7852" w:rsidP="008F755D">
            <w:pPr>
              <w:rPr>
                <w:rFonts w:cs="Calibri"/>
              </w:rPr>
            </w:pPr>
          </w:p>
          <w:p w14:paraId="7FC458AB" w14:textId="77777777" w:rsidR="005C7852" w:rsidRDefault="005C7852" w:rsidP="008F755D">
            <w:pPr>
              <w:rPr>
                <w:rFonts w:cs="Calibri"/>
              </w:rPr>
            </w:pPr>
          </w:p>
          <w:p w14:paraId="2A8A9541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5C7852" w:rsidRPr="0050624B" w14:paraId="117A31BD" w14:textId="77777777" w:rsidTr="008F755D">
        <w:trPr>
          <w:trHeight w:val="454"/>
        </w:trPr>
        <w:tc>
          <w:tcPr>
            <w:tcW w:w="2122" w:type="dxa"/>
            <w:vMerge/>
          </w:tcPr>
          <w:p w14:paraId="2AC73744" w14:textId="77777777" w:rsidR="005C7852" w:rsidRPr="0050624B" w:rsidRDefault="005C7852" w:rsidP="008F755D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7" w:type="dxa"/>
          </w:tcPr>
          <w:p w14:paraId="37A008B1" w14:textId="77777777" w:rsidR="005C7852" w:rsidRPr="000D748A" w:rsidRDefault="005C7852" w:rsidP="008F755D">
            <w:r>
              <w:rPr>
                <w:rFonts w:cs="Calibri"/>
              </w:rPr>
              <w:t>A.2.2 Zajištění potřebných kapacit</w:t>
            </w:r>
          </w:p>
        </w:tc>
      </w:tr>
      <w:tr w:rsidR="005C7852" w:rsidRPr="0050624B" w14:paraId="24D8F10B" w14:textId="77777777" w:rsidTr="008F755D">
        <w:trPr>
          <w:trHeight w:val="454"/>
        </w:trPr>
        <w:tc>
          <w:tcPr>
            <w:tcW w:w="2122" w:type="dxa"/>
            <w:vMerge w:val="restart"/>
          </w:tcPr>
          <w:p w14:paraId="17D2E56C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A.3</w:t>
            </w:r>
          </w:p>
          <w:p w14:paraId="10B817D6" w14:textId="77777777" w:rsidR="005C7852" w:rsidRPr="00941F1A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941F1A">
              <w:rPr>
                <w:rFonts w:cs="Calibri"/>
                <w:b/>
                <w:bCs/>
              </w:rPr>
              <w:t>Redukce počtu</w:t>
            </w:r>
          </w:p>
          <w:p w14:paraId="017717AE" w14:textId="77777777" w:rsidR="005C7852" w:rsidRPr="00941F1A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941F1A">
              <w:rPr>
                <w:rFonts w:cs="Calibri"/>
                <w:b/>
                <w:bCs/>
              </w:rPr>
              <w:t>odkladů povinné</w:t>
            </w:r>
          </w:p>
          <w:p w14:paraId="50D424C2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941F1A">
              <w:rPr>
                <w:rFonts w:cs="Calibri"/>
                <w:b/>
                <w:bCs/>
              </w:rPr>
              <w:t>školní docházky</w:t>
            </w:r>
          </w:p>
        </w:tc>
        <w:tc>
          <w:tcPr>
            <w:tcW w:w="6947" w:type="dxa"/>
          </w:tcPr>
          <w:p w14:paraId="7593094E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>A.3.1 Podpora pedagogické diagnostiky v MŠ a speciálně pedagogické diagnostiky v ŠPZ</w:t>
            </w:r>
          </w:p>
        </w:tc>
      </w:tr>
      <w:tr w:rsidR="005C7852" w:rsidRPr="0050624B" w14:paraId="5C192080" w14:textId="77777777" w:rsidTr="008F755D">
        <w:trPr>
          <w:trHeight w:val="454"/>
        </w:trPr>
        <w:tc>
          <w:tcPr>
            <w:tcW w:w="2122" w:type="dxa"/>
            <w:vMerge/>
          </w:tcPr>
          <w:p w14:paraId="31A408A4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</w:p>
        </w:tc>
        <w:tc>
          <w:tcPr>
            <w:tcW w:w="6947" w:type="dxa"/>
          </w:tcPr>
          <w:p w14:paraId="7CEC46A7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>A.3.2 Zefektivnění podmínek a organizace PV</w:t>
            </w:r>
          </w:p>
          <w:p w14:paraId="0F5F7506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193670B3" w14:textId="77777777" w:rsidTr="008F755D">
        <w:trPr>
          <w:trHeight w:val="454"/>
        </w:trPr>
        <w:tc>
          <w:tcPr>
            <w:tcW w:w="2122" w:type="dxa"/>
            <w:vMerge/>
          </w:tcPr>
          <w:p w14:paraId="4B00A69E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</w:p>
        </w:tc>
        <w:tc>
          <w:tcPr>
            <w:tcW w:w="6947" w:type="dxa"/>
          </w:tcPr>
          <w:p w14:paraId="7304C640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>A.3.3 Zvyšování kompetencí pedagogických pracovníků v MŠ a dalších aktérů ke vzdělávání dětí ze odlišného sociokulturního prostředí</w:t>
            </w:r>
          </w:p>
        </w:tc>
      </w:tr>
      <w:tr w:rsidR="005C7852" w:rsidRPr="0050624B" w14:paraId="2616827C" w14:textId="77777777" w:rsidTr="008F755D">
        <w:trPr>
          <w:trHeight w:val="454"/>
        </w:trPr>
        <w:tc>
          <w:tcPr>
            <w:tcW w:w="2122" w:type="dxa"/>
            <w:vMerge/>
          </w:tcPr>
          <w:p w14:paraId="588E48C9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</w:p>
        </w:tc>
        <w:tc>
          <w:tcPr>
            <w:tcW w:w="6947" w:type="dxa"/>
          </w:tcPr>
          <w:p w14:paraId="658B24FA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A.3.4 Zpřísnění legislativních kritérií, za kterých bude možný odklad školní docházky </w:t>
            </w:r>
          </w:p>
        </w:tc>
      </w:tr>
    </w:tbl>
    <w:p w14:paraId="48988598" w14:textId="77777777" w:rsidR="005C7852" w:rsidRDefault="005C7852" w:rsidP="005C7852">
      <w:pPr>
        <w:rPr>
          <w:rFonts w:cs="Calibri"/>
        </w:rPr>
      </w:pPr>
    </w:p>
    <w:p w14:paraId="1E49FB0D" w14:textId="77777777" w:rsidR="005C7852" w:rsidRPr="004434DF" w:rsidRDefault="005C7852" w:rsidP="005C7852">
      <w:pPr>
        <w:spacing w:after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B</w:t>
      </w:r>
      <w:r w:rsidRPr="004434DF">
        <w:rPr>
          <w:rFonts w:cs="Calibri"/>
          <w:b/>
          <w:bCs/>
          <w:sz w:val="28"/>
          <w:szCs w:val="28"/>
          <w:u w:val="single"/>
        </w:rPr>
        <w:t xml:space="preserve">. </w:t>
      </w:r>
      <w:r>
        <w:rPr>
          <w:rFonts w:cs="Calibri"/>
          <w:b/>
          <w:bCs/>
          <w:sz w:val="28"/>
          <w:szCs w:val="28"/>
          <w:u w:val="single"/>
        </w:rPr>
        <w:t>Moderní základní</w:t>
      </w:r>
      <w:r w:rsidRPr="004434DF">
        <w:rPr>
          <w:rFonts w:cs="Calibri"/>
          <w:b/>
          <w:bCs/>
          <w:sz w:val="28"/>
          <w:szCs w:val="28"/>
          <w:u w:val="single"/>
        </w:rPr>
        <w:t xml:space="preserve"> vzdělávání</w:t>
      </w:r>
      <w:r>
        <w:rPr>
          <w:rFonts w:cs="Calibri"/>
          <w:b/>
          <w:bCs/>
          <w:sz w:val="28"/>
          <w:szCs w:val="28"/>
          <w:u w:val="single"/>
        </w:rPr>
        <w:t xml:space="preserve"> pro 21. století</w:t>
      </w:r>
    </w:p>
    <w:p w14:paraId="1730EB9B" w14:textId="77777777" w:rsidR="005C7852" w:rsidRPr="0050624B" w:rsidRDefault="005C7852" w:rsidP="005C7852">
      <w:pPr>
        <w:pStyle w:val="Bezmezer"/>
      </w:pPr>
    </w:p>
    <w:tbl>
      <w:tblPr>
        <w:tblStyle w:val="Mkatabulky"/>
        <w:tblW w:w="907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4"/>
        <w:gridCol w:w="6947"/>
      </w:tblGrid>
      <w:tr w:rsidR="005C7852" w:rsidRPr="0050624B" w14:paraId="74DD4639" w14:textId="77777777" w:rsidTr="008F755D">
        <w:trPr>
          <w:trHeight w:val="454"/>
        </w:trPr>
        <w:tc>
          <w:tcPr>
            <w:tcW w:w="9071" w:type="dxa"/>
            <w:gridSpan w:val="2"/>
            <w:shd w:val="clear" w:color="auto" w:fill="C1E4F5" w:themeFill="accent1" w:themeFillTint="33"/>
            <w:vAlign w:val="center"/>
          </w:tcPr>
          <w:p w14:paraId="4ACB5088" w14:textId="77777777" w:rsidR="005C7852" w:rsidRPr="00AD32A0" w:rsidRDefault="005C7852" w:rsidP="008F755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B</w:t>
            </w:r>
            <w:r w:rsidRPr="004434DF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 xml:space="preserve"> MODERNÍ ZÁKLADNÍ VZDĚLÁVÁNÍ PRO 21. STOLETÍ</w:t>
            </w:r>
            <w:r w:rsidRPr="00AD32A0">
              <w:rPr>
                <w:rFonts w:cs="Calibri"/>
                <w:b/>
                <w:bCs/>
              </w:rPr>
              <w:t xml:space="preserve"> </w:t>
            </w:r>
          </w:p>
        </w:tc>
      </w:tr>
      <w:tr w:rsidR="005C7852" w:rsidRPr="0050624B" w14:paraId="1D3FCE1E" w14:textId="77777777" w:rsidTr="008F755D">
        <w:trPr>
          <w:trHeight w:val="454"/>
        </w:trPr>
        <w:tc>
          <w:tcPr>
            <w:tcW w:w="2124" w:type="dxa"/>
            <w:shd w:val="clear" w:color="auto" w:fill="C1E4F5" w:themeFill="accent1" w:themeFillTint="33"/>
            <w:vAlign w:val="center"/>
          </w:tcPr>
          <w:p w14:paraId="67DBEA39" w14:textId="77777777" w:rsidR="005C7852" w:rsidRPr="0050624B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 xml:space="preserve">Opatření </w:t>
            </w:r>
          </w:p>
        </w:tc>
        <w:tc>
          <w:tcPr>
            <w:tcW w:w="6947" w:type="dxa"/>
            <w:shd w:val="clear" w:color="auto" w:fill="C1E4F5" w:themeFill="accent1" w:themeFillTint="33"/>
            <w:vAlign w:val="center"/>
          </w:tcPr>
          <w:p w14:paraId="7AB56DBC" w14:textId="77777777" w:rsidR="005C7852" w:rsidRPr="0050624B" w:rsidRDefault="005C7852" w:rsidP="008F755D">
            <w:pPr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>Vyhodnocení</w:t>
            </w:r>
            <w:r>
              <w:rPr>
                <w:rFonts w:cs="Calibri"/>
                <w:b/>
                <w:bCs/>
              </w:rPr>
              <w:t xml:space="preserve"> klíčových aktivit</w:t>
            </w:r>
          </w:p>
        </w:tc>
      </w:tr>
      <w:tr w:rsidR="005C7852" w:rsidRPr="0050624B" w14:paraId="4E242952" w14:textId="77777777" w:rsidTr="008F755D">
        <w:trPr>
          <w:trHeight w:val="454"/>
        </w:trPr>
        <w:tc>
          <w:tcPr>
            <w:tcW w:w="2124" w:type="dxa"/>
            <w:vMerge w:val="restart"/>
          </w:tcPr>
          <w:p w14:paraId="33D32273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B.1</w:t>
            </w:r>
          </w:p>
          <w:p w14:paraId="45DD6F8B" w14:textId="77777777" w:rsidR="005C7852" w:rsidRPr="00941F1A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Dokončení revize</w:t>
            </w:r>
          </w:p>
          <w:p w14:paraId="5B0CF233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941F1A">
              <w:rPr>
                <w:rFonts w:cs="Calibri"/>
                <w:b/>
                <w:bCs/>
              </w:rPr>
              <w:t xml:space="preserve">RVP </w:t>
            </w:r>
            <w:r>
              <w:rPr>
                <w:rFonts w:cs="Calibri"/>
                <w:b/>
                <w:bCs/>
              </w:rPr>
              <w:t>Z</w:t>
            </w:r>
            <w:r w:rsidRPr="00941F1A">
              <w:rPr>
                <w:rFonts w:cs="Calibri"/>
                <w:b/>
                <w:bCs/>
              </w:rPr>
              <w:t>V</w:t>
            </w:r>
          </w:p>
        </w:tc>
        <w:tc>
          <w:tcPr>
            <w:tcW w:w="6947" w:type="dxa"/>
          </w:tcPr>
          <w:p w14:paraId="1AB46C0A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B.1.1 Dokončení tvorby RVP ZV </w:t>
            </w:r>
          </w:p>
          <w:p w14:paraId="16A1897C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5C7852" w:rsidRPr="0050624B" w14:paraId="0C0C60FF" w14:textId="77777777" w:rsidTr="008F755D">
        <w:trPr>
          <w:trHeight w:val="454"/>
        </w:trPr>
        <w:tc>
          <w:tcPr>
            <w:tcW w:w="2124" w:type="dxa"/>
            <w:vMerge/>
          </w:tcPr>
          <w:p w14:paraId="5C520F5F" w14:textId="77777777" w:rsidR="005C7852" w:rsidRPr="0050624B" w:rsidRDefault="005C7852" w:rsidP="008F755D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7" w:type="dxa"/>
          </w:tcPr>
          <w:p w14:paraId="53248E85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>B.1.2 Informační a osvětová kampaň k zavádění revidovaného kurikula</w:t>
            </w:r>
          </w:p>
          <w:p w14:paraId="3C7C6A72" w14:textId="77777777" w:rsidR="005C7852" w:rsidRPr="000D748A" w:rsidRDefault="005C7852" w:rsidP="008F755D"/>
        </w:tc>
      </w:tr>
      <w:tr w:rsidR="005C7852" w:rsidRPr="0050624B" w14:paraId="433D0613" w14:textId="77777777" w:rsidTr="008F755D">
        <w:trPr>
          <w:trHeight w:val="454"/>
        </w:trPr>
        <w:tc>
          <w:tcPr>
            <w:tcW w:w="2124" w:type="dxa"/>
            <w:vMerge w:val="restart"/>
          </w:tcPr>
          <w:p w14:paraId="51F1D859" w14:textId="77777777" w:rsidR="005C7852" w:rsidRPr="005337F1" w:rsidRDefault="005C7852" w:rsidP="008F755D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B.2</w:t>
            </w:r>
          </w:p>
          <w:p w14:paraId="4605B3A3" w14:textId="77777777" w:rsidR="005C7852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Implementace</w:t>
            </w:r>
          </w:p>
          <w:p w14:paraId="63C93DDE" w14:textId="77777777" w:rsidR="005C7852" w:rsidRPr="00941F1A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revidovaného</w:t>
            </w:r>
          </w:p>
          <w:p w14:paraId="3A575CB1" w14:textId="77777777" w:rsidR="005C7852" w:rsidRPr="005337F1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941F1A">
              <w:rPr>
                <w:rFonts w:cs="Calibri"/>
                <w:b/>
                <w:bCs/>
              </w:rPr>
              <w:t xml:space="preserve">RVP </w:t>
            </w:r>
            <w:r>
              <w:rPr>
                <w:rFonts w:cs="Calibri"/>
                <w:b/>
                <w:bCs/>
              </w:rPr>
              <w:t>Z</w:t>
            </w:r>
            <w:r w:rsidRPr="00941F1A">
              <w:rPr>
                <w:rFonts w:cs="Calibri"/>
                <w:b/>
                <w:bCs/>
              </w:rPr>
              <w:t>V</w:t>
            </w:r>
          </w:p>
        </w:tc>
        <w:tc>
          <w:tcPr>
            <w:tcW w:w="6947" w:type="dxa"/>
          </w:tcPr>
          <w:p w14:paraId="448BD37C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B.2.1 Metodická podpora a vzdělávání pedagogických pracovníků při práci s kurikulem </w:t>
            </w:r>
          </w:p>
        </w:tc>
      </w:tr>
      <w:tr w:rsidR="005C7852" w:rsidRPr="0050624B" w14:paraId="55AAE640" w14:textId="77777777" w:rsidTr="008F755D">
        <w:trPr>
          <w:trHeight w:val="454"/>
        </w:trPr>
        <w:tc>
          <w:tcPr>
            <w:tcW w:w="2124" w:type="dxa"/>
            <w:vMerge/>
          </w:tcPr>
          <w:p w14:paraId="171EF26D" w14:textId="77777777" w:rsidR="005C7852" w:rsidRPr="0050624B" w:rsidRDefault="005C7852" w:rsidP="008F755D">
            <w:pPr>
              <w:ind w:right="-309"/>
              <w:jc w:val="center"/>
              <w:rPr>
                <w:rFonts w:cs="Calibri"/>
              </w:rPr>
            </w:pPr>
          </w:p>
        </w:tc>
        <w:tc>
          <w:tcPr>
            <w:tcW w:w="6947" w:type="dxa"/>
          </w:tcPr>
          <w:p w14:paraId="19470C2D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>B.2.2 S</w:t>
            </w:r>
            <w:r w:rsidRPr="00AD32A0">
              <w:rPr>
                <w:rFonts w:cs="Calibri"/>
              </w:rPr>
              <w:t>yst</w:t>
            </w:r>
            <w:r>
              <w:rPr>
                <w:rFonts w:cs="Calibri"/>
              </w:rPr>
              <w:t>e</w:t>
            </w:r>
            <w:r w:rsidRPr="00AD32A0">
              <w:rPr>
                <w:rFonts w:cs="Calibri"/>
              </w:rPr>
              <w:t>m</w:t>
            </w:r>
            <w:r>
              <w:rPr>
                <w:rFonts w:cs="Calibri"/>
              </w:rPr>
              <w:t>atizace a tvorba učebních materiálů pro práci s revidovaným kurikulem</w:t>
            </w:r>
          </w:p>
        </w:tc>
      </w:tr>
      <w:tr w:rsidR="005C7852" w:rsidRPr="0050624B" w14:paraId="26487F41" w14:textId="77777777" w:rsidTr="008F755D">
        <w:trPr>
          <w:trHeight w:val="454"/>
        </w:trPr>
        <w:tc>
          <w:tcPr>
            <w:tcW w:w="2124" w:type="dxa"/>
            <w:vMerge/>
          </w:tcPr>
          <w:p w14:paraId="184FFF2B" w14:textId="77777777" w:rsidR="005C7852" w:rsidRPr="0050624B" w:rsidRDefault="005C7852" w:rsidP="008F755D">
            <w:pPr>
              <w:ind w:right="-309"/>
              <w:rPr>
                <w:rFonts w:cs="Calibri"/>
              </w:rPr>
            </w:pPr>
          </w:p>
        </w:tc>
        <w:tc>
          <w:tcPr>
            <w:tcW w:w="6947" w:type="dxa"/>
          </w:tcPr>
          <w:p w14:paraId="4FFCC6E6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>B.2.3 Tvorba ověřovacích úloh pro jednotnou přijímací zkoušku</w:t>
            </w:r>
          </w:p>
          <w:p w14:paraId="2F673AD3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47F17FB0" w14:textId="77777777" w:rsidTr="008F755D">
        <w:trPr>
          <w:trHeight w:val="454"/>
        </w:trPr>
        <w:tc>
          <w:tcPr>
            <w:tcW w:w="2124" w:type="dxa"/>
            <w:vMerge w:val="restart"/>
          </w:tcPr>
          <w:p w14:paraId="4646A8D8" w14:textId="77777777" w:rsidR="005C7852" w:rsidRPr="005337F1" w:rsidRDefault="005C7852" w:rsidP="008F755D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B.3</w:t>
            </w:r>
          </w:p>
          <w:p w14:paraId="1FC84435" w14:textId="77777777" w:rsidR="005C7852" w:rsidRPr="005337F1" w:rsidRDefault="005C7852" w:rsidP="008F755D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Hodnocení </w:t>
            </w:r>
            <w:r>
              <w:rPr>
                <w:rFonts w:cs="Calibri"/>
                <w:b/>
                <w:bCs/>
              </w:rPr>
              <w:br/>
              <w:t>ve vzdělávání</w:t>
            </w:r>
          </w:p>
        </w:tc>
        <w:tc>
          <w:tcPr>
            <w:tcW w:w="6947" w:type="dxa"/>
          </w:tcPr>
          <w:p w14:paraId="60ED61A5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>B.3.1 Podpora formativní zpětné vazby</w:t>
            </w:r>
          </w:p>
          <w:p w14:paraId="0DC7E038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57E387FE" w14:textId="77777777" w:rsidTr="008F755D">
        <w:trPr>
          <w:trHeight w:val="454"/>
        </w:trPr>
        <w:tc>
          <w:tcPr>
            <w:tcW w:w="2124" w:type="dxa"/>
            <w:vMerge/>
          </w:tcPr>
          <w:p w14:paraId="16BC5762" w14:textId="77777777" w:rsidR="005C7852" w:rsidRPr="0050624B" w:rsidRDefault="005C7852" w:rsidP="008F755D">
            <w:pPr>
              <w:ind w:right="-309"/>
              <w:rPr>
                <w:rFonts w:cs="Calibri"/>
              </w:rPr>
            </w:pPr>
          </w:p>
        </w:tc>
        <w:tc>
          <w:tcPr>
            <w:tcW w:w="6947" w:type="dxa"/>
          </w:tcPr>
          <w:p w14:paraId="52711947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B.3.2 Změny v hodnocení žáků na vysvědčení v 1. až 3. ročníku základního vzdělávání </w:t>
            </w:r>
          </w:p>
        </w:tc>
      </w:tr>
      <w:tr w:rsidR="005C7852" w:rsidRPr="0050624B" w14:paraId="1926BC90" w14:textId="77777777" w:rsidTr="008F755D">
        <w:trPr>
          <w:trHeight w:val="454"/>
        </w:trPr>
        <w:tc>
          <w:tcPr>
            <w:tcW w:w="2124" w:type="dxa"/>
            <w:vMerge/>
          </w:tcPr>
          <w:p w14:paraId="4EE4F4E3" w14:textId="77777777" w:rsidR="005C7852" w:rsidRPr="0050624B" w:rsidRDefault="005C7852" w:rsidP="008F755D">
            <w:pPr>
              <w:ind w:right="-309"/>
              <w:rPr>
                <w:rFonts w:cs="Calibri"/>
              </w:rPr>
            </w:pPr>
          </w:p>
        </w:tc>
        <w:tc>
          <w:tcPr>
            <w:tcW w:w="6947" w:type="dxa"/>
          </w:tcPr>
          <w:p w14:paraId="40938B98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>B.3.3 Hodnocení výsledků vzdělávání v uzlových bodech</w:t>
            </w:r>
          </w:p>
          <w:p w14:paraId="775F2BF8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4FF98538" w14:textId="77777777" w:rsidTr="008F755D">
        <w:trPr>
          <w:trHeight w:val="454"/>
        </w:trPr>
        <w:tc>
          <w:tcPr>
            <w:tcW w:w="2124" w:type="dxa"/>
            <w:vMerge w:val="restart"/>
          </w:tcPr>
          <w:p w14:paraId="7E1C9057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B.4</w:t>
            </w:r>
          </w:p>
          <w:p w14:paraId="28DA4401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941F1A">
              <w:rPr>
                <w:rFonts w:cs="Calibri"/>
                <w:b/>
                <w:bCs/>
              </w:rPr>
              <w:t xml:space="preserve">RVP </w:t>
            </w:r>
            <w:r>
              <w:rPr>
                <w:rFonts w:cs="Calibri"/>
                <w:b/>
                <w:bCs/>
              </w:rPr>
              <w:t>pro speciální vzdělávání</w:t>
            </w:r>
          </w:p>
        </w:tc>
        <w:tc>
          <w:tcPr>
            <w:tcW w:w="6947" w:type="dxa"/>
          </w:tcPr>
          <w:p w14:paraId="586FB181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B.4.1 Návrh cílů a obsahů RVP pro základní školu speciální a RVP pro praktickou školu </w:t>
            </w:r>
          </w:p>
        </w:tc>
      </w:tr>
      <w:tr w:rsidR="005C7852" w:rsidRPr="0050624B" w14:paraId="56E90FDE" w14:textId="77777777" w:rsidTr="008F755D">
        <w:trPr>
          <w:trHeight w:val="454"/>
        </w:trPr>
        <w:tc>
          <w:tcPr>
            <w:tcW w:w="2124" w:type="dxa"/>
            <w:vMerge/>
          </w:tcPr>
          <w:p w14:paraId="327889A4" w14:textId="77777777" w:rsidR="005C7852" w:rsidRPr="0050624B" w:rsidRDefault="005C7852" w:rsidP="008F755D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7" w:type="dxa"/>
          </w:tcPr>
          <w:p w14:paraId="55451951" w14:textId="77777777" w:rsidR="005C7852" w:rsidRPr="000D748A" w:rsidRDefault="005C7852" w:rsidP="008F755D">
            <w:r>
              <w:rPr>
                <w:rFonts w:cs="Calibri"/>
              </w:rPr>
              <w:t>B.4.2 Informační a metodická podpora zavádění revidovaného RVP pro základní školu speciální a RVP pro praktickou školu</w:t>
            </w:r>
          </w:p>
        </w:tc>
      </w:tr>
    </w:tbl>
    <w:p w14:paraId="46129083" w14:textId="77777777" w:rsidR="005C7852" w:rsidRDefault="005C7852" w:rsidP="005C7852">
      <w:pPr>
        <w:rPr>
          <w:rFonts w:cs="Calibri"/>
        </w:rPr>
      </w:pPr>
    </w:p>
    <w:p w14:paraId="513EDBC3" w14:textId="77777777" w:rsidR="005C7852" w:rsidRPr="004434DF" w:rsidRDefault="005C7852" w:rsidP="005C7852">
      <w:pPr>
        <w:spacing w:after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C</w:t>
      </w:r>
      <w:r w:rsidRPr="004434DF">
        <w:rPr>
          <w:rFonts w:cs="Calibri"/>
          <w:b/>
          <w:bCs/>
          <w:sz w:val="28"/>
          <w:szCs w:val="28"/>
          <w:u w:val="single"/>
        </w:rPr>
        <w:t xml:space="preserve">. </w:t>
      </w:r>
      <w:r>
        <w:rPr>
          <w:rFonts w:cs="Calibri"/>
          <w:b/>
          <w:bCs/>
          <w:sz w:val="28"/>
          <w:szCs w:val="28"/>
          <w:u w:val="single"/>
        </w:rPr>
        <w:t xml:space="preserve">Všeobecné a odborné </w:t>
      </w:r>
      <w:r w:rsidRPr="004434DF">
        <w:rPr>
          <w:rFonts w:cs="Calibri"/>
          <w:b/>
          <w:bCs/>
          <w:sz w:val="28"/>
          <w:szCs w:val="28"/>
          <w:u w:val="single"/>
        </w:rPr>
        <w:t>vzdělávání</w:t>
      </w:r>
      <w:r>
        <w:rPr>
          <w:rFonts w:cs="Calibri"/>
          <w:b/>
          <w:bCs/>
          <w:sz w:val="28"/>
          <w:szCs w:val="28"/>
          <w:u w:val="single"/>
        </w:rPr>
        <w:t xml:space="preserve"> pro uplatnění v dalším studiu i v praxi</w:t>
      </w:r>
    </w:p>
    <w:p w14:paraId="7381B070" w14:textId="77777777" w:rsidR="005C7852" w:rsidRPr="0050624B" w:rsidRDefault="005C7852" w:rsidP="005C7852">
      <w:pPr>
        <w:pStyle w:val="Bezmezer"/>
      </w:pPr>
    </w:p>
    <w:tbl>
      <w:tblPr>
        <w:tblStyle w:val="Mkatabulky"/>
        <w:tblW w:w="907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4"/>
        <w:gridCol w:w="6947"/>
      </w:tblGrid>
      <w:tr w:rsidR="005C7852" w:rsidRPr="0050624B" w14:paraId="1DFB7107" w14:textId="77777777" w:rsidTr="008F755D">
        <w:trPr>
          <w:trHeight w:val="454"/>
        </w:trPr>
        <w:tc>
          <w:tcPr>
            <w:tcW w:w="9071" w:type="dxa"/>
            <w:gridSpan w:val="2"/>
            <w:shd w:val="clear" w:color="auto" w:fill="C1E4F5" w:themeFill="accent1" w:themeFillTint="33"/>
            <w:vAlign w:val="center"/>
          </w:tcPr>
          <w:p w14:paraId="515AA868" w14:textId="77777777" w:rsidR="005C7852" w:rsidRPr="00AD32A0" w:rsidRDefault="005C7852" w:rsidP="008F755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</w:t>
            </w:r>
            <w:r w:rsidRPr="004434DF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 xml:space="preserve"> VŠEOBECNÉ A ODBORNÉ VZDĚLÁVÁNÍ PRO UPLATNĚNÍ V DALŠÍM STUDIU I V PRAXI</w:t>
            </w:r>
            <w:r w:rsidRPr="00AD32A0">
              <w:rPr>
                <w:rFonts w:cs="Calibri"/>
                <w:b/>
                <w:bCs/>
              </w:rPr>
              <w:t xml:space="preserve"> </w:t>
            </w:r>
          </w:p>
        </w:tc>
      </w:tr>
      <w:tr w:rsidR="005C7852" w:rsidRPr="0050624B" w14:paraId="4B5C37DD" w14:textId="77777777" w:rsidTr="008F755D">
        <w:trPr>
          <w:trHeight w:val="454"/>
        </w:trPr>
        <w:tc>
          <w:tcPr>
            <w:tcW w:w="2124" w:type="dxa"/>
            <w:shd w:val="clear" w:color="auto" w:fill="C1E4F5" w:themeFill="accent1" w:themeFillTint="33"/>
            <w:vAlign w:val="center"/>
          </w:tcPr>
          <w:p w14:paraId="522BEBD0" w14:textId="77777777" w:rsidR="005C7852" w:rsidRPr="0050624B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 xml:space="preserve">Opatření </w:t>
            </w:r>
          </w:p>
        </w:tc>
        <w:tc>
          <w:tcPr>
            <w:tcW w:w="6947" w:type="dxa"/>
            <w:shd w:val="clear" w:color="auto" w:fill="C1E4F5" w:themeFill="accent1" w:themeFillTint="33"/>
            <w:vAlign w:val="center"/>
          </w:tcPr>
          <w:p w14:paraId="7A027555" w14:textId="77777777" w:rsidR="005C7852" w:rsidRPr="0050624B" w:rsidRDefault="005C7852" w:rsidP="008F755D">
            <w:pPr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>Vyhodnocení</w:t>
            </w:r>
            <w:r>
              <w:rPr>
                <w:rFonts w:cs="Calibri"/>
                <w:b/>
                <w:bCs/>
              </w:rPr>
              <w:t xml:space="preserve"> klíčových aktivit</w:t>
            </w:r>
          </w:p>
        </w:tc>
      </w:tr>
      <w:tr w:rsidR="005C7852" w:rsidRPr="0050624B" w14:paraId="6D772936" w14:textId="77777777" w:rsidTr="008F755D">
        <w:trPr>
          <w:trHeight w:val="454"/>
        </w:trPr>
        <w:tc>
          <w:tcPr>
            <w:tcW w:w="2124" w:type="dxa"/>
            <w:vMerge w:val="restart"/>
          </w:tcPr>
          <w:p w14:paraId="2BD7E809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</w:t>
            </w:r>
            <w:r w:rsidRPr="005337F1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</w:t>
            </w:r>
          </w:p>
          <w:p w14:paraId="14ED7771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485F63">
              <w:rPr>
                <w:rFonts w:cs="Calibri"/>
                <w:b/>
                <w:bCs/>
              </w:rPr>
              <w:t>Nová struktura oborové</w:t>
            </w:r>
            <w:r>
              <w:rPr>
                <w:rFonts w:cs="Calibri"/>
                <w:b/>
                <w:bCs/>
              </w:rPr>
              <w:t xml:space="preserve"> </w:t>
            </w:r>
            <w:r w:rsidRPr="00485F63">
              <w:rPr>
                <w:rFonts w:cs="Calibri"/>
                <w:b/>
                <w:bCs/>
              </w:rPr>
              <w:t>soustavy středního</w:t>
            </w:r>
            <w:r>
              <w:rPr>
                <w:rFonts w:cs="Calibri"/>
                <w:b/>
                <w:bCs/>
              </w:rPr>
              <w:t xml:space="preserve"> </w:t>
            </w:r>
            <w:r w:rsidRPr="00485F63">
              <w:rPr>
                <w:rFonts w:cs="Calibri"/>
                <w:b/>
                <w:bCs/>
              </w:rPr>
              <w:t>vzdělávání</w:t>
            </w:r>
          </w:p>
        </w:tc>
        <w:tc>
          <w:tcPr>
            <w:tcW w:w="6947" w:type="dxa"/>
          </w:tcPr>
          <w:p w14:paraId="750BD92E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>C.1.1 O</w:t>
            </w:r>
            <w:r w:rsidRPr="00485F63">
              <w:rPr>
                <w:rFonts w:cs="Calibri"/>
              </w:rPr>
              <w:t>ptimalizace počtu</w:t>
            </w:r>
            <w:r>
              <w:rPr>
                <w:rFonts w:cs="Calibri"/>
              </w:rPr>
              <w:t xml:space="preserve"> </w:t>
            </w:r>
            <w:r w:rsidRPr="00485F63">
              <w:rPr>
                <w:rFonts w:cs="Calibri"/>
              </w:rPr>
              <w:t>oborů vzdělání středních</w:t>
            </w:r>
            <w:r>
              <w:rPr>
                <w:rFonts w:cs="Calibri"/>
              </w:rPr>
              <w:t xml:space="preserve"> </w:t>
            </w:r>
            <w:r w:rsidRPr="00485F63">
              <w:rPr>
                <w:rFonts w:cs="Calibri"/>
              </w:rPr>
              <w:t>škol</w:t>
            </w:r>
          </w:p>
          <w:p w14:paraId="62979D37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5C7852" w:rsidRPr="0050624B" w14:paraId="61A3C627" w14:textId="77777777" w:rsidTr="008F755D">
        <w:trPr>
          <w:trHeight w:val="454"/>
        </w:trPr>
        <w:tc>
          <w:tcPr>
            <w:tcW w:w="2124" w:type="dxa"/>
            <w:vMerge/>
          </w:tcPr>
          <w:p w14:paraId="0F74DB7B" w14:textId="77777777" w:rsidR="005C7852" w:rsidRPr="0050624B" w:rsidRDefault="005C7852" w:rsidP="008F755D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7" w:type="dxa"/>
          </w:tcPr>
          <w:p w14:paraId="1114AFAA" w14:textId="77777777" w:rsidR="005C7852" w:rsidRPr="00485F63" w:rsidRDefault="005C7852" w:rsidP="008F755D">
            <w:pPr>
              <w:rPr>
                <w:b/>
                <w:bCs/>
              </w:rPr>
            </w:pPr>
            <w:r w:rsidRPr="00485F63">
              <w:rPr>
                <w:rFonts w:cs="Calibri"/>
              </w:rPr>
              <w:t>C.1.2</w:t>
            </w:r>
            <w:r w:rsidRPr="00485F63">
              <w:rPr>
                <w:rFonts w:cs="Calibri"/>
                <w:b/>
                <w:bCs/>
              </w:rPr>
              <w:t xml:space="preserve"> </w:t>
            </w:r>
            <w:r w:rsidRPr="00485F63">
              <w:rPr>
                <w:rStyle w:val="A12"/>
                <w:b w:val="0"/>
                <w:bCs w:val="0"/>
                <w:sz w:val="22"/>
                <w:szCs w:val="22"/>
              </w:rPr>
              <w:t xml:space="preserve">Zavedení pravidel pro tvorbu zaměření oborů vzdělání do oborové soustavy </w:t>
            </w:r>
          </w:p>
        </w:tc>
      </w:tr>
      <w:tr w:rsidR="005C7852" w:rsidRPr="0050624B" w14:paraId="2514A709" w14:textId="77777777" w:rsidTr="008F755D">
        <w:trPr>
          <w:trHeight w:val="454"/>
        </w:trPr>
        <w:tc>
          <w:tcPr>
            <w:tcW w:w="2124" w:type="dxa"/>
            <w:vMerge w:val="restart"/>
          </w:tcPr>
          <w:p w14:paraId="62F5A540" w14:textId="77777777" w:rsidR="005C7852" w:rsidRPr="005337F1" w:rsidRDefault="005C7852" w:rsidP="008F755D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C.2</w:t>
            </w:r>
          </w:p>
          <w:p w14:paraId="04D17559" w14:textId="77777777" w:rsidR="005C7852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485F63">
              <w:rPr>
                <w:rFonts w:cs="Calibri"/>
                <w:b/>
                <w:bCs/>
              </w:rPr>
              <w:t xml:space="preserve">Inovovaný obsah </w:t>
            </w:r>
          </w:p>
          <w:p w14:paraId="728F9CCA" w14:textId="77777777" w:rsidR="005C7852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485F63">
              <w:rPr>
                <w:rFonts w:cs="Calibri"/>
                <w:b/>
                <w:bCs/>
              </w:rPr>
              <w:t>RVP</w:t>
            </w:r>
            <w:r>
              <w:rPr>
                <w:rFonts w:cs="Calibri"/>
                <w:b/>
                <w:bCs/>
              </w:rPr>
              <w:t xml:space="preserve"> </w:t>
            </w:r>
            <w:r w:rsidRPr="00485F63">
              <w:rPr>
                <w:rFonts w:cs="Calibri"/>
                <w:b/>
                <w:bCs/>
              </w:rPr>
              <w:t>odpovídající rychle</w:t>
            </w:r>
            <w:r>
              <w:rPr>
                <w:rFonts w:cs="Calibri"/>
                <w:b/>
                <w:bCs/>
              </w:rPr>
              <w:t xml:space="preserve"> </w:t>
            </w:r>
            <w:r w:rsidRPr="00485F63">
              <w:rPr>
                <w:rFonts w:cs="Calibri"/>
                <w:b/>
                <w:bCs/>
              </w:rPr>
              <w:t xml:space="preserve">se měnícím </w:t>
            </w:r>
          </w:p>
          <w:p w14:paraId="0A7ED9D6" w14:textId="77777777" w:rsidR="005C7852" w:rsidRPr="005337F1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485F63">
              <w:rPr>
                <w:rFonts w:cs="Calibri"/>
                <w:b/>
                <w:bCs/>
              </w:rPr>
              <w:t>potřebám</w:t>
            </w:r>
          </w:p>
        </w:tc>
        <w:tc>
          <w:tcPr>
            <w:tcW w:w="6947" w:type="dxa"/>
          </w:tcPr>
          <w:p w14:paraId="3F77A24F" w14:textId="77777777" w:rsidR="005C7852" w:rsidRPr="00485F63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C.2.1 </w:t>
            </w:r>
            <w:r w:rsidRPr="00485F63">
              <w:rPr>
                <w:rFonts w:cs="Calibri"/>
              </w:rPr>
              <w:t>Posílení všeobecného</w:t>
            </w:r>
            <w:r>
              <w:rPr>
                <w:rFonts w:cs="Calibri"/>
              </w:rPr>
              <w:t xml:space="preserve"> </w:t>
            </w:r>
            <w:r w:rsidRPr="00485F63">
              <w:rPr>
                <w:rFonts w:cs="Calibri"/>
              </w:rPr>
              <w:t>základu, klíčových</w:t>
            </w:r>
            <w:r>
              <w:rPr>
                <w:rFonts w:cs="Calibri"/>
              </w:rPr>
              <w:t xml:space="preserve"> </w:t>
            </w:r>
            <w:r w:rsidRPr="00485F63">
              <w:rPr>
                <w:rFonts w:cs="Calibri"/>
              </w:rPr>
              <w:t>kompetencí a základních</w:t>
            </w:r>
          </w:p>
          <w:p w14:paraId="6B9A9A0C" w14:textId="77777777" w:rsidR="005C7852" w:rsidRPr="0050624B" w:rsidRDefault="005C7852" w:rsidP="008F755D">
            <w:pPr>
              <w:rPr>
                <w:rFonts w:cs="Calibri"/>
              </w:rPr>
            </w:pPr>
            <w:r w:rsidRPr="00485F63">
              <w:rPr>
                <w:rFonts w:cs="Calibri"/>
              </w:rPr>
              <w:t>gramotností,</w:t>
            </w:r>
            <w:r>
              <w:rPr>
                <w:rFonts w:cs="Calibri"/>
              </w:rPr>
              <w:t xml:space="preserve"> </w:t>
            </w:r>
            <w:r w:rsidRPr="00485F63">
              <w:rPr>
                <w:rFonts w:cs="Calibri"/>
              </w:rPr>
              <w:t>prodloužení povinné</w:t>
            </w:r>
            <w:r>
              <w:rPr>
                <w:rFonts w:cs="Calibri"/>
              </w:rPr>
              <w:t xml:space="preserve"> </w:t>
            </w:r>
            <w:r w:rsidRPr="00485F63">
              <w:rPr>
                <w:rFonts w:cs="Calibri"/>
              </w:rPr>
              <w:t>školní docházky</w:t>
            </w:r>
          </w:p>
        </w:tc>
      </w:tr>
      <w:tr w:rsidR="005C7852" w:rsidRPr="0050624B" w14:paraId="3AF3F8AD" w14:textId="77777777" w:rsidTr="008F755D">
        <w:trPr>
          <w:trHeight w:val="454"/>
        </w:trPr>
        <w:tc>
          <w:tcPr>
            <w:tcW w:w="2124" w:type="dxa"/>
            <w:vMerge/>
          </w:tcPr>
          <w:p w14:paraId="2458D4AB" w14:textId="77777777" w:rsidR="005C7852" w:rsidRPr="0050624B" w:rsidRDefault="005C7852" w:rsidP="008F755D">
            <w:pPr>
              <w:ind w:right="-309"/>
              <w:jc w:val="center"/>
              <w:rPr>
                <w:rFonts w:cs="Calibri"/>
              </w:rPr>
            </w:pPr>
          </w:p>
        </w:tc>
        <w:tc>
          <w:tcPr>
            <w:tcW w:w="6947" w:type="dxa"/>
          </w:tcPr>
          <w:p w14:paraId="7EE37A23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C.2.2 </w:t>
            </w:r>
            <w:r w:rsidRPr="00485F63">
              <w:rPr>
                <w:rFonts w:cs="Calibri"/>
              </w:rPr>
              <w:t>Pyramidové uspořádání</w:t>
            </w:r>
            <w:r>
              <w:rPr>
                <w:rFonts w:cs="Calibri"/>
              </w:rPr>
              <w:t xml:space="preserve"> </w:t>
            </w:r>
            <w:r w:rsidRPr="00485F63">
              <w:rPr>
                <w:rFonts w:cs="Calibri"/>
              </w:rPr>
              <w:t>učiva v oborech (skupinách</w:t>
            </w:r>
            <w:r>
              <w:rPr>
                <w:rFonts w:cs="Calibri"/>
              </w:rPr>
              <w:t xml:space="preserve"> </w:t>
            </w:r>
            <w:r w:rsidRPr="00485F63">
              <w:rPr>
                <w:rFonts w:cs="Calibri"/>
              </w:rPr>
              <w:t>oborů) vzdělání</w:t>
            </w:r>
          </w:p>
          <w:p w14:paraId="77D17EA2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63FB14F6" w14:textId="77777777" w:rsidTr="008F755D">
        <w:trPr>
          <w:trHeight w:val="454"/>
        </w:trPr>
        <w:tc>
          <w:tcPr>
            <w:tcW w:w="2124" w:type="dxa"/>
            <w:vMerge/>
          </w:tcPr>
          <w:p w14:paraId="3C97C703" w14:textId="77777777" w:rsidR="005C7852" w:rsidRPr="0050624B" w:rsidRDefault="005C7852" w:rsidP="008F755D">
            <w:pPr>
              <w:ind w:right="-309"/>
              <w:rPr>
                <w:rFonts w:cs="Calibri"/>
              </w:rPr>
            </w:pPr>
          </w:p>
        </w:tc>
        <w:tc>
          <w:tcPr>
            <w:tcW w:w="6947" w:type="dxa"/>
          </w:tcPr>
          <w:p w14:paraId="25BA807A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C.2.3 </w:t>
            </w:r>
            <w:r w:rsidRPr="00485F63">
              <w:rPr>
                <w:rFonts w:cs="Calibri"/>
              </w:rPr>
              <w:t>Propojení NSK a RVP</w:t>
            </w:r>
            <w:r>
              <w:rPr>
                <w:rFonts w:cs="Calibri"/>
              </w:rPr>
              <w:t xml:space="preserve"> </w:t>
            </w:r>
            <w:r w:rsidRPr="00485F63">
              <w:rPr>
                <w:rFonts w:cs="Calibri"/>
              </w:rPr>
              <w:t>v obsahu vzdělávání</w:t>
            </w:r>
          </w:p>
          <w:p w14:paraId="7EDF9F9C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72BE2A61" w14:textId="77777777" w:rsidTr="008F755D">
        <w:trPr>
          <w:trHeight w:val="454"/>
        </w:trPr>
        <w:tc>
          <w:tcPr>
            <w:tcW w:w="2124" w:type="dxa"/>
            <w:vMerge w:val="restart"/>
          </w:tcPr>
          <w:p w14:paraId="326013C9" w14:textId="77777777" w:rsidR="005C7852" w:rsidRPr="005337F1" w:rsidRDefault="005C7852" w:rsidP="008F755D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C.3</w:t>
            </w:r>
          </w:p>
          <w:p w14:paraId="2AE3C782" w14:textId="77777777" w:rsidR="005C7852" w:rsidRPr="00485F63" w:rsidRDefault="005C7852" w:rsidP="008F755D">
            <w:pPr>
              <w:pStyle w:val="Pa0"/>
              <w:rPr>
                <w:color w:val="000000"/>
                <w:sz w:val="22"/>
              </w:rPr>
            </w:pPr>
            <w:r w:rsidRPr="00485F63">
              <w:rPr>
                <w:rStyle w:val="A12"/>
                <w:sz w:val="22"/>
                <w:szCs w:val="22"/>
              </w:rPr>
              <w:t xml:space="preserve">Podpora kvality vzdělávání </w:t>
            </w:r>
            <w:r>
              <w:rPr>
                <w:rStyle w:val="A12"/>
                <w:sz w:val="22"/>
                <w:szCs w:val="22"/>
              </w:rPr>
              <w:br/>
            </w:r>
            <w:r w:rsidRPr="00485F63">
              <w:rPr>
                <w:rStyle w:val="A12"/>
                <w:sz w:val="22"/>
                <w:szCs w:val="22"/>
              </w:rPr>
              <w:t xml:space="preserve">ve středních školách </w:t>
            </w:r>
          </w:p>
          <w:p w14:paraId="7F69969F" w14:textId="77777777" w:rsidR="005C7852" w:rsidRPr="00485F63" w:rsidRDefault="005C7852" w:rsidP="008F755D">
            <w:pPr>
              <w:ind w:right="-309"/>
            </w:pPr>
          </w:p>
        </w:tc>
        <w:tc>
          <w:tcPr>
            <w:tcW w:w="6947" w:type="dxa"/>
          </w:tcPr>
          <w:p w14:paraId="10C44E25" w14:textId="77777777" w:rsidR="005C7852" w:rsidRPr="00485F63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C.3.1 </w:t>
            </w:r>
            <w:r w:rsidRPr="00485F63">
              <w:rPr>
                <w:rFonts w:cs="Calibri"/>
              </w:rPr>
              <w:t>Elektronizace přihlašování</w:t>
            </w:r>
            <w:r>
              <w:rPr>
                <w:rFonts w:cs="Calibri"/>
              </w:rPr>
              <w:t xml:space="preserve"> </w:t>
            </w:r>
            <w:r w:rsidRPr="00485F63">
              <w:rPr>
                <w:rFonts w:cs="Calibri"/>
              </w:rPr>
              <w:t>žáků do středního</w:t>
            </w:r>
            <w:r>
              <w:rPr>
                <w:rFonts w:cs="Calibri"/>
              </w:rPr>
              <w:t xml:space="preserve"> </w:t>
            </w:r>
            <w:r w:rsidRPr="00485F63">
              <w:rPr>
                <w:rFonts w:cs="Calibri"/>
              </w:rPr>
              <w:t>vzdělávání (elektronické</w:t>
            </w:r>
          </w:p>
          <w:p w14:paraId="55F6A8FF" w14:textId="77777777" w:rsidR="005C7852" w:rsidRPr="0050624B" w:rsidRDefault="005C7852" w:rsidP="008F755D">
            <w:pPr>
              <w:rPr>
                <w:rFonts w:cs="Calibri"/>
              </w:rPr>
            </w:pPr>
            <w:r w:rsidRPr="00485F63">
              <w:rPr>
                <w:rFonts w:cs="Calibri"/>
              </w:rPr>
              <w:t>podání přihlášky)</w:t>
            </w:r>
          </w:p>
        </w:tc>
      </w:tr>
      <w:tr w:rsidR="005C7852" w:rsidRPr="0050624B" w14:paraId="6B7A4ACA" w14:textId="77777777" w:rsidTr="008F755D">
        <w:trPr>
          <w:trHeight w:val="454"/>
        </w:trPr>
        <w:tc>
          <w:tcPr>
            <w:tcW w:w="2124" w:type="dxa"/>
            <w:vMerge/>
          </w:tcPr>
          <w:p w14:paraId="046CD316" w14:textId="77777777" w:rsidR="005C7852" w:rsidRPr="0050624B" w:rsidRDefault="005C7852" w:rsidP="008F755D">
            <w:pPr>
              <w:ind w:right="-309"/>
              <w:rPr>
                <w:rFonts w:cs="Calibri"/>
              </w:rPr>
            </w:pPr>
          </w:p>
        </w:tc>
        <w:tc>
          <w:tcPr>
            <w:tcW w:w="6947" w:type="dxa"/>
          </w:tcPr>
          <w:p w14:paraId="5DEAB29B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C.3.2 </w:t>
            </w:r>
            <w:r w:rsidRPr="001408F7">
              <w:rPr>
                <w:rFonts w:cs="Calibri"/>
              </w:rPr>
              <w:t>Zlepšení nástrojů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na zvýšení kvality odborného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vzdělávání</w:t>
            </w:r>
          </w:p>
          <w:p w14:paraId="0FD2C651" w14:textId="77777777" w:rsidR="005C7852" w:rsidRPr="001408F7" w:rsidRDefault="005C7852" w:rsidP="008F755D">
            <w:pPr>
              <w:ind w:left="176"/>
              <w:rPr>
                <w:rFonts w:cs="Calibri"/>
              </w:rPr>
            </w:pPr>
            <w:r w:rsidRPr="001408F7">
              <w:rPr>
                <w:rFonts w:cs="Calibri"/>
              </w:rPr>
              <w:t>C.3.2.1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Příprava a další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vzdělávání učitelů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odborných předmětů</w:t>
            </w:r>
          </w:p>
          <w:p w14:paraId="240EDB62" w14:textId="77777777" w:rsidR="005C7852" w:rsidRDefault="005C7852" w:rsidP="008F755D">
            <w:pPr>
              <w:ind w:left="176"/>
              <w:rPr>
                <w:rFonts w:cs="Calibri"/>
              </w:rPr>
            </w:pPr>
            <w:r w:rsidRPr="001408F7">
              <w:rPr>
                <w:rFonts w:cs="Calibri"/>
              </w:rPr>
              <w:t>středních škol (včetně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stáží u zaměstnavatelů)</w:t>
            </w:r>
          </w:p>
          <w:p w14:paraId="6902FCCA" w14:textId="77777777" w:rsidR="005C7852" w:rsidRDefault="005C7852" w:rsidP="008F755D">
            <w:pPr>
              <w:ind w:left="176"/>
              <w:rPr>
                <w:rFonts w:cs="Calibri"/>
              </w:rPr>
            </w:pPr>
            <w:r w:rsidRPr="001408F7">
              <w:rPr>
                <w:rFonts w:cs="Calibri"/>
              </w:rPr>
              <w:t>C.3.2.2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Podpora jazykového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vzdělávání žáků a učitelů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ve středních školách</w:t>
            </w:r>
          </w:p>
          <w:p w14:paraId="32A8C872" w14:textId="77777777" w:rsidR="005C7852" w:rsidRDefault="005C7852" w:rsidP="008F755D">
            <w:pPr>
              <w:ind w:left="176"/>
              <w:rPr>
                <w:rFonts w:cs="Calibri"/>
              </w:rPr>
            </w:pPr>
            <w:r w:rsidRPr="001408F7">
              <w:rPr>
                <w:rFonts w:cs="Calibri"/>
              </w:rPr>
              <w:t>C.3.2.3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Zlepšení kvality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praktického vyučování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a praktické přípravy</w:t>
            </w:r>
            <w:r>
              <w:rPr>
                <w:rFonts w:cs="Calibri"/>
              </w:rPr>
              <w:t xml:space="preserve"> </w:t>
            </w:r>
          </w:p>
          <w:p w14:paraId="101E88F2" w14:textId="77777777" w:rsidR="005C7852" w:rsidRDefault="005C7852" w:rsidP="008F755D">
            <w:pPr>
              <w:ind w:left="176"/>
              <w:rPr>
                <w:rFonts w:cs="Calibri"/>
              </w:rPr>
            </w:pPr>
            <w:r w:rsidRPr="001408F7">
              <w:rPr>
                <w:rFonts w:cs="Calibri"/>
              </w:rPr>
              <w:t>v odborných školách</w:t>
            </w:r>
          </w:p>
          <w:p w14:paraId="7E7862FC" w14:textId="77777777" w:rsidR="005C7852" w:rsidRPr="0050624B" w:rsidRDefault="005C7852" w:rsidP="008F755D">
            <w:pPr>
              <w:ind w:left="176"/>
              <w:rPr>
                <w:rFonts w:cs="Calibri"/>
              </w:rPr>
            </w:pPr>
            <w:r w:rsidRPr="001408F7">
              <w:rPr>
                <w:rFonts w:cs="Calibri"/>
              </w:rPr>
              <w:t>C.3.2.4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Podpora individuálních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konzultací žáků ohrožených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předčasným odchodem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ze vzdělávání</w:t>
            </w:r>
          </w:p>
        </w:tc>
      </w:tr>
      <w:tr w:rsidR="005C7852" w:rsidRPr="0050624B" w14:paraId="367B9F5E" w14:textId="77777777" w:rsidTr="008F755D">
        <w:trPr>
          <w:trHeight w:val="454"/>
        </w:trPr>
        <w:tc>
          <w:tcPr>
            <w:tcW w:w="2124" w:type="dxa"/>
            <w:vMerge/>
          </w:tcPr>
          <w:p w14:paraId="4D94214A" w14:textId="77777777" w:rsidR="005C7852" w:rsidRPr="0050624B" w:rsidRDefault="005C7852" w:rsidP="008F755D">
            <w:pPr>
              <w:ind w:right="-309"/>
              <w:rPr>
                <w:rFonts w:cs="Calibri"/>
              </w:rPr>
            </w:pPr>
          </w:p>
        </w:tc>
        <w:tc>
          <w:tcPr>
            <w:tcW w:w="6947" w:type="dxa"/>
          </w:tcPr>
          <w:p w14:paraId="46CE021A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C.3.3 </w:t>
            </w:r>
            <w:r w:rsidRPr="001408F7">
              <w:rPr>
                <w:rFonts w:cs="Calibri"/>
              </w:rPr>
              <w:t>Modernizace ukončování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středoškolského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vzdělávání</w:t>
            </w:r>
          </w:p>
          <w:p w14:paraId="683380B3" w14:textId="77777777" w:rsidR="005C7852" w:rsidRDefault="005C7852" w:rsidP="008F755D">
            <w:pPr>
              <w:ind w:left="176"/>
              <w:rPr>
                <w:rFonts w:cs="Calibri"/>
              </w:rPr>
            </w:pPr>
            <w:r w:rsidRPr="001408F7">
              <w:rPr>
                <w:rFonts w:cs="Calibri"/>
              </w:rPr>
              <w:t>C.3.3.1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Digitalizace maturitní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zkoušky</w:t>
            </w:r>
          </w:p>
          <w:p w14:paraId="1ADD4A64" w14:textId="77777777" w:rsidR="005C7852" w:rsidRPr="0050624B" w:rsidRDefault="005C7852" w:rsidP="008F755D">
            <w:pPr>
              <w:ind w:left="176"/>
              <w:rPr>
                <w:rFonts w:cs="Calibri"/>
              </w:rPr>
            </w:pPr>
            <w:r w:rsidRPr="001408F7">
              <w:rPr>
                <w:rFonts w:cs="Calibri"/>
              </w:rPr>
              <w:t>C.3.3.2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Alternativní forma profilové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maturitní zkoušky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(komplexní absolventská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práce)</w:t>
            </w:r>
          </w:p>
        </w:tc>
      </w:tr>
      <w:tr w:rsidR="005C7852" w:rsidRPr="0050624B" w14:paraId="520D8165" w14:textId="77777777" w:rsidTr="008F755D">
        <w:trPr>
          <w:trHeight w:val="454"/>
        </w:trPr>
        <w:tc>
          <w:tcPr>
            <w:tcW w:w="2124" w:type="dxa"/>
            <w:vMerge w:val="restart"/>
          </w:tcPr>
          <w:p w14:paraId="3F9DA61A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C.4</w:t>
            </w:r>
          </w:p>
          <w:p w14:paraId="1DF9FBD4" w14:textId="77777777" w:rsidR="005C7852" w:rsidRPr="00485F63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485F63">
              <w:rPr>
                <w:rFonts w:cs="Calibri"/>
                <w:b/>
                <w:bCs/>
              </w:rPr>
              <w:t xml:space="preserve">Postavení VOŠ </w:t>
            </w:r>
            <w:r>
              <w:rPr>
                <w:rFonts w:cs="Calibri"/>
                <w:b/>
                <w:bCs/>
              </w:rPr>
              <w:br/>
            </w:r>
            <w:r w:rsidRPr="00485F63">
              <w:rPr>
                <w:rFonts w:cs="Calibri"/>
                <w:b/>
                <w:bCs/>
              </w:rPr>
              <w:t>a modernizace</w:t>
            </w:r>
          </w:p>
          <w:p w14:paraId="1A3EB954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485F63">
              <w:rPr>
                <w:rFonts w:cs="Calibri"/>
                <w:b/>
                <w:bCs/>
              </w:rPr>
              <w:t>absolutoria</w:t>
            </w:r>
          </w:p>
        </w:tc>
        <w:tc>
          <w:tcPr>
            <w:tcW w:w="6947" w:type="dxa"/>
          </w:tcPr>
          <w:p w14:paraId="73587FAA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C.4.1 </w:t>
            </w:r>
            <w:r w:rsidRPr="001408F7">
              <w:rPr>
                <w:rFonts w:cs="Calibri"/>
              </w:rPr>
              <w:t>Posouzení postavení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vyšších odborných škol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ve vzdělávacím systému</w:t>
            </w:r>
          </w:p>
          <w:p w14:paraId="252686C9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12FA47AF" w14:textId="77777777" w:rsidTr="008F755D">
        <w:trPr>
          <w:trHeight w:val="454"/>
        </w:trPr>
        <w:tc>
          <w:tcPr>
            <w:tcW w:w="2124" w:type="dxa"/>
            <w:vMerge/>
          </w:tcPr>
          <w:p w14:paraId="6B29D841" w14:textId="77777777" w:rsidR="005C7852" w:rsidRPr="0050624B" w:rsidRDefault="005C7852" w:rsidP="008F755D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7" w:type="dxa"/>
          </w:tcPr>
          <w:p w14:paraId="3F5A2A47" w14:textId="77777777" w:rsidR="005C7852" w:rsidRPr="001408F7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C.4.2 </w:t>
            </w:r>
            <w:r w:rsidRPr="001408F7">
              <w:rPr>
                <w:rFonts w:cs="Calibri"/>
              </w:rPr>
              <w:t>Zavedení nového pojetí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konání absolutoria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formou komplexní</w:t>
            </w:r>
          </w:p>
          <w:p w14:paraId="0114B898" w14:textId="77777777" w:rsidR="005C7852" w:rsidRPr="000D748A" w:rsidRDefault="005C7852" w:rsidP="008F755D">
            <w:r w:rsidRPr="001408F7">
              <w:rPr>
                <w:rFonts w:cs="Calibri"/>
              </w:rPr>
              <w:t>absolventské práce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s obhajobou ve vyšším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odborném vzdělávání</w:t>
            </w:r>
          </w:p>
        </w:tc>
      </w:tr>
      <w:tr w:rsidR="005C7852" w:rsidRPr="0050624B" w14:paraId="13F4DE8E" w14:textId="77777777" w:rsidTr="008F755D">
        <w:trPr>
          <w:trHeight w:val="1084"/>
        </w:trPr>
        <w:tc>
          <w:tcPr>
            <w:tcW w:w="2124" w:type="dxa"/>
          </w:tcPr>
          <w:p w14:paraId="269CBB5A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C.5</w:t>
            </w:r>
          </w:p>
          <w:p w14:paraId="65CC2234" w14:textId="77777777" w:rsidR="005C7852" w:rsidRPr="00485F63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485F63">
              <w:rPr>
                <w:rFonts w:cs="Calibri"/>
                <w:b/>
                <w:bCs/>
              </w:rPr>
              <w:t>Zlepšování nástrojů</w:t>
            </w:r>
          </w:p>
          <w:p w14:paraId="6349176B" w14:textId="77777777" w:rsidR="005C7852" w:rsidRPr="00485F63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485F63">
              <w:rPr>
                <w:rFonts w:cs="Calibri"/>
                <w:b/>
                <w:bCs/>
              </w:rPr>
              <w:t>pro vstup absolventů</w:t>
            </w:r>
          </w:p>
          <w:p w14:paraId="06144309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485F63">
              <w:rPr>
                <w:rFonts w:cs="Calibri"/>
                <w:b/>
                <w:bCs/>
              </w:rPr>
              <w:t>na trh práce</w:t>
            </w:r>
          </w:p>
        </w:tc>
        <w:tc>
          <w:tcPr>
            <w:tcW w:w="6947" w:type="dxa"/>
          </w:tcPr>
          <w:p w14:paraId="525C579B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C.5.1 </w:t>
            </w:r>
            <w:r w:rsidRPr="001408F7">
              <w:rPr>
                <w:rFonts w:cs="Calibri"/>
              </w:rPr>
              <w:t>Kariérové poradenství</w:t>
            </w:r>
            <w:r>
              <w:rPr>
                <w:rFonts w:cs="Calibri"/>
              </w:rPr>
              <w:t xml:space="preserve"> </w:t>
            </w:r>
            <w:r w:rsidRPr="001408F7">
              <w:rPr>
                <w:rFonts w:cs="Calibri"/>
              </w:rPr>
              <w:t>a vzdělávání</w:t>
            </w:r>
          </w:p>
          <w:p w14:paraId="3B99BD03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</w:tbl>
    <w:p w14:paraId="340AA57C" w14:textId="77777777" w:rsidR="005C7852" w:rsidRPr="0050624B" w:rsidRDefault="005C7852" w:rsidP="005C7852">
      <w:pPr>
        <w:rPr>
          <w:rFonts w:cs="Calibri"/>
        </w:rPr>
      </w:pPr>
    </w:p>
    <w:p w14:paraId="177B4CDB" w14:textId="77777777" w:rsidR="005C7852" w:rsidRPr="004434DF" w:rsidRDefault="005C7852" w:rsidP="005C7852">
      <w:pPr>
        <w:spacing w:after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</w:t>
      </w:r>
      <w:r w:rsidRPr="004434DF">
        <w:rPr>
          <w:rFonts w:cs="Calibri"/>
          <w:b/>
          <w:bCs/>
          <w:sz w:val="28"/>
          <w:szCs w:val="28"/>
          <w:u w:val="single"/>
        </w:rPr>
        <w:t xml:space="preserve">. </w:t>
      </w:r>
      <w:r>
        <w:rPr>
          <w:rFonts w:cs="Calibri"/>
          <w:b/>
          <w:bCs/>
          <w:sz w:val="28"/>
          <w:szCs w:val="28"/>
          <w:u w:val="single"/>
        </w:rPr>
        <w:t>Podpora a rozvoj pedagogů a leadrů škol</w:t>
      </w:r>
    </w:p>
    <w:p w14:paraId="704039FC" w14:textId="77777777" w:rsidR="005C7852" w:rsidRDefault="005C7852" w:rsidP="005C7852">
      <w:pPr>
        <w:pStyle w:val="Bezmezer"/>
      </w:pPr>
    </w:p>
    <w:tbl>
      <w:tblPr>
        <w:tblStyle w:val="Mkatabulky"/>
        <w:tblW w:w="90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4"/>
        <w:gridCol w:w="6945"/>
      </w:tblGrid>
      <w:tr w:rsidR="005C7852" w:rsidRPr="0050624B" w14:paraId="14E0DF9C" w14:textId="77777777" w:rsidTr="008F755D">
        <w:trPr>
          <w:trHeight w:val="454"/>
        </w:trPr>
        <w:tc>
          <w:tcPr>
            <w:tcW w:w="9069" w:type="dxa"/>
            <w:gridSpan w:val="2"/>
            <w:shd w:val="clear" w:color="auto" w:fill="C1E4F5" w:themeFill="accent1" w:themeFillTint="33"/>
            <w:vAlign w:val="center"/>
          </w:tcPr>
          <w:p w14:paraId="6AFD5CE0" w14:textId="77777777" w:rsidR="005C7852" w:rsidRPr="004434DF" w:rsidRDefault="005C7852" w:rsidP="008F755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</w:t>
            </w:r>
            <w:r w:rsidRPr="004434DF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 xml:space="preserve"> </w:t>
            </w:r>
            <w:r w:rsidRPr="004434DF">
              <w:rPr>
                <w:rFonts w:cs="Calibri"/>
                <w:b/>
                <w:bCs/>
              </w:rPr>
              <w:t>PODPOR</w:t>
            </w:r>
            <w:r>
              <w:rPr>
                <w:rFonts w:cs="Calibri"/>
                <w:b/>
                <w:bCs/>
              </w:rPr>
              <w:t xml:space="preserve">A A ROZVOJ PEDAGOGŮ A LEADRŮ </w:t>
            </w:r>
            <w:r w:rsidRPr="004434DF">
              <w:rPr>
                <w:rFonts w:cs="Calibri"/>
                <w:b/>
                <w:bCs/>
              </w:rPr>
              <w:t>ŠKOL</w:t>
            </w:r>
          </w:p>
        </w:tc>
      </w:tr>
      <w:tr w:rsidR="005C7852" w:rsidRPr="0050624B" w14:paraId="3CB2E846" w14:textId="77777777" w:rsidTr="008F755D">
        <w:trPr>
          <w:trHeight w:val="454"/>
        </w:trPr>
        <w:tc>
          <w:tcPr>
            <w:tcW w:w="2124" w:type="dxa"/>
            <w:shd w:val="clear" w:color="auto" w:fill="C1E4F5" w:themeFill="accent1" w:themeFillTint="33"/>
            <w:vAlign w:val="center"/>
          </w:tcPr>
          <w:p w14:paraId="11EF1C3F" w14:textId="77777777" w:rsidR="005C7852" w:rsidRPr="0050624B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lastRenderedPageBreak/>
              <w:t xml:space="preserve">Opatření </w:t>
            </w:r>
          </w:p>
        </w:tc>
        <w:tc>
          <w:tcPr>
            <w:tcW w:w="6945" w:type="dxa"/>
            <w:shd w:val="clear" w:color="auto" w:fill="C1E4F5" w:themeFill="accent1" w:themeFillTint="33"/>
            <w:vAlign w:val="center"/>
          </w:tcPr>
          <w:p w14:paraId="1D1B55AF" w14:textId="77777777" w:rsidR="005C7852" w:rsidRPr="0050624B" w:rsidRDefault="005C7852" w:rsidP="008F755D">
            <w:pPr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>Vyhodnocení</w:t>
            </w:r>
            <w:r>
              <w:rPr>
                <w:rFonts w:cs="Calibri"/>
                <w:b/>
                <w:bCs/>
              </w:rPr>
              <w:t xml:space="preserve"> klíčových aktivit</w:t>
            </w:r>
          </w:p>
        </w:tc>
      </w:tr>
      <w:tr w:rsidR="005C7852" w:rsidRPr="0050624B" w14:paraId="7CE07FD6" w14:textId="77777777" w:rsidTr="008F755D">
        <w:trPr>
          <w:trHeight w:val="907"/>
        </w:trPr>
        <w:tc>
          <w:tcPr>
            <w:tcW w:w="2124" w:type="dxa"/>
          </w:tcPr>
          <w:p w14:paraId="3685AD22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D.1</w:t>
            </w:r>
          </w:p>
          <w:p w14:paraId="414FB3D0" w14:textId="77777777" w:rsidR="005C7852" w:rsidRPr="006C6D19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6C6D19">
              <w:rPr>
                <w:rFonts w:cs="Calibri"/>
                <w:b/>
                <w:bCs/>
              </w:rPr>
              <w:t>Reforma pregraduální</w:t>
            </w:r>
          </w:p>
          <w:p w14:paraId="29B210D3" w14:textId="77777777" w:rsidR="005C7852" w:rsidRPr="006C6D19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6C6D19">
              <w:rPr>
                <w:rFonts w:cs="Calibri"/>
                <w:b/>
                <w:bCs/>
              </w:rPr>
              <w:t>přípravy učitelů</w:t>
            </w:r>
          </w:p>
          <w:p w14:paraId="2F3C3576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  <w:r w:rsidRPr="006C6D19">
              <w:rPr>
                <w:rFonts w:cs="Calibri"/>
                <w:b/>
                <w:bCs/>
              </w:rPr>
              <w:t>a učitelek</w:t>
            </w:r>
          </w:p>
        </w:tc>
        <w:tc>
          <w:tcPr>
            <w:tcW w:w="6945" w:type="dxa"/>
          </w:tcPr>
          <w:p w14:paraId="33DBBC4C" w14:textId="77777777" w:rsidR="005C7852" w:rsidRPr="006C6D19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D.1.1 </w:t>
            </w:r>
            <w:r w:rsidRPr="006C6D19">
              <w:rPr>
                <w:rFonts w:cs="Calibri"/>
              </w:rPr>
              <w:t>Příprava opatření</w:t>
            </w:r>
            <w:r>
              <w:rPr>
                <w:rFonts w:cs="Calibri"/>
              </w:rPr>
              <w:t xml:space="preserve"> </w:t>
            </w:r>
            <w:r w:rsidRPr="006C6D19">
              <w:rPr>
                <w:rFonts w:cs="Calibri"/>
              </w:rPr>
              <w:t>reformy pregraduální</w:t>
            </w:r>
            <w:r>
              <w:rPr>
                <w:rFonts w:cs="Calibri"/>
              </w:rPr>
              <w:t xml:space="preserve"> </w:t>
            </w:r>
            <w:r w:rsidRPr="006C6D19">
              <w:rPr>
                <w:rFonts w:cs="Calibri"/>
              </w:rPr>
              <w:t>přípravy učitelů na další</w:t>
            </w:r>
          </w:p>
          <w:p w14:paraId="0FD36D94" w14:textId="77777777" w:rsidR="005C7852" w:rsidRDefault="005C7852" w:rsidP="008F755D">
            <w:pPr>
              <w:rPr>
                <w:rFonts w:cs="Calibri"/>
              </w:rPr>
            </w:pPr>
            <w:r w:rsidRPr="006C6D19">
              <w:rPr>
                <w:rFonts w:cs="Calibri"/>
              </w:rPr>
              <w:t>implementační období</w:t>
            </w:r>
          </w:p>
          <w:p w14:paraId="3D1F828F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7FD0990C" w14:textId="77777777" w:rsidTr="008F755D">
        <w:trPr>
          <w:trHeight w:val="454"/>
        </w:trPr>
        <w:tc>
          <w:tcPr>
            <w:tcW w:w="2124" w:type="dxa"/>
            <w:vMerge w:val="restart"/>
          </w:tcPr>
          <w:p w14:paraId="4B95376B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D.2</w:t>
            </w:r>
          </w:p>
          <w:p w14:paraId="367BD552" w14:textId="77777777" w:rsidR="005C7852" w:rsidRPr="006C6D19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6C6D19">
              <w:rPr>
                <w:rFonts w:cs="Calibri"/>
                <w:b/>
                <w:bCs/>
              </w:rPr>
              <w:t>Posílení role ředitele</w:t>
            </w:r>
          </w:p>
          <w:p w14:paraId="47B36F46" w14:textId="77777777" w:rsidR="005C7852" w:rsidRPr="006C6D19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6C6D19">
              <w:rPr>
                <w:rFonts w:cs="Calibri"/>
                <w:b/>
                <w:bCs/>
              </w:rPr>
              <w:t>jako leadera pedagogického</w:t>
            </w:r>
          </w:p>
          <w:p w14:paraId="49C0AB05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  <w:r w:rsidRPr="006C6D19">
              <w:rPr>
                <w:rFonts w:cs="Calibri"/>
                <w:b/>
                <w:bCs/>
              </w:rPr>
              <w:t>procesu</w:t>
            </w:r>
          </w:p>
        </w:tc>
        <w:tc>
          <w:tcPr>
            <w:tcW w:w="6945" w:type="dxa"/>
          </w:tcPr>
          <w:p w14:paraId="7F6DA971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D.2.1 </w:t>
            </w:r>
            <w:r w:rsidRPr="006C6D19">
              <w:rPr>
                <w:rFonts w:cs="Calibri"/>
              </w:rPr>
              <w:t>Vytvoření uceleného systému</w:t>
            </w:r>
            <w:r>
              <w:rPr>
                <w:rFonts w:cs="Calibri"/>
              </w:rPr>
              <w:t xml:space="preserve"> </w:t>
            </w:r>
            <w:r w:rsidRPr="006C6D19">
              <w:rPr>
                <w:rFonts w:cs="Calibri"/>
              </w:rPr>
              <w:t>podpory ředitelů</w:t>
            </w:r>
          </w:p>
          <w:p w14:paraId="2D0A50F5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2DF64A7A" w14:textId="77777777" w:rsidTr="008F755D">
        <w:trPr>
          <w:trHeight w:val="454"/>
        </w:trPr>
        <w:tc>
          <w:tcPr>
            <w:tcW w:w="2124" w:type="dxa"/>
            <w:vMerge/>
          </w:tcPr>
          <w:p w14:paraId="008C5D98" w14:textId="77777777" w:rsidR="005C7852" w:rsidRPr="0050624B" w:rsidRDefault="005C7852" w:rsidP="008F755D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5" w:type="dxa"/>
          </w:tcPr>
          <w:p w14:paraId="23EF49FE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D.2.2 </w:t>
            </w:r>
            <w:r w:rsidRPr="006C6D19">
              <w:rPr>
                <w:rFonts w:cs="Calibri"/>
              </w:rPr>
              <w:t>Vzdělávání ředitelů škol</w:t>
            </w:r>
            <w:r>
              <w:rPr>
                <w:rFonts w:cs="Calibri"/>
              </w:rPr>
              <w:t xml:space="preserve"> </w:t>
            </w:r>
          </w:p>
        </w:tc>
      </w:tr>
      <w:tr w:rsidR="005C7852" w:rsidRPr="0050624B" w14:paraId="47A0BA69" w14:textId="77777777" w:rsidTr="008F755D">
        <w:trPr>
          <w:trHeight w:val="454"/>
        </w:trPr>
        <w:tc>
          <w:tcPr>
            <w:tcW w:w="2124" w:type="dxa"/>
            <w:vMerge w:val="restart"/>
          </w:tcPr>
          <w:p w14:paraId="5C93E7F3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D.3</w:t>
            </w:r>
          </w:p>
          <w:p w14:paraId="31362B42" w14:textId="77777777" w:rsidR="005C7852" w:rsidRPr="006C6D19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6C6D19">
              <w:rPr>
                <w:rFonts w:cs="Calibri"/>
                <w:b/>
                <w:bCs/>
              </w:rPr>
              <w:t>Systém podpory</w:t>
            </w:r>
          </w:p>
          <w:p w14:paraId="06265A32" w14:textId="77777777" w:rsidR="005C7852" w:rsidRPr="006C6D19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6C6D19">
              <w:rPr>
                <w:rFonts w:cs="Calibri"/>
                <w:b/>
                <w:bCs/>
              </w:rPr>
              <w:t>a rozvoje učitelů</w:t>
            </w:r>
          </w:p>
          <w:p w14:paraId="085EF421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  <w:r w:rsidRPr="006C6D19">
              <w:rPr>
                <w:rFonts w:cs="Calibri"/>
                <w:b/>
                <w:bCs/>
              </w:rPr>
              <w:t>v průběhu kariéry</w:t>
            </w:r>
          </w:p>
        </w:tc>
        <w:tc>
          <w:tcPr>
            <w:tcW w:w="6945" w:type="dxa"/>
          </w:tcPr>
          <w:p w14:paraId="3DC83FCC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D.3.1 </w:t>
            </w:r>
            <w:r w:rsidRPr="006C6D19">
              <w:rPr>
                <w:rFonts w:cs="Calibri"/>
              </w:rPr>
              <w:t>Kompetenční profil učitele</w:t>
            </w:r>
          </w:p>
          <w:p w14:paraId="46445C96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6976D0AE" w14:textId="77777777" w:rsidTr="008F755D">
        <w:trPr>
          <w:trHeight w:val="454"/>
        </w:trPr>
        <w:tc>
          <w:tcPr>
            <w:tcW w:w="2124" w:type="dxa"/>
            <w:vMerge/>
          </w:tcPr>
          <w:p w14:paraId="7C1C38C4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61BAA33F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D.3.2 </w:t>
            </w:r>
            <w:r w:rsidRPr="006C6D19">
              <w:rPr>
                <w:rFonts w:cs="Calibri"/>
              </w:rPr>
              <w:t>Systém podpory začínajících</w:t>
            </w:r>
            <w:r>
              <w:rPr>
                <w:rFonts w:cs="Calibri"/>
              </w:rPr>
              <w:t xml:space="preserve"> </w:t>
            </w:r>
            <w:r w:rsidRPr="006C6D19">
              <w:rPr>
                <w:rFonts w:cs="Calibri"/>
              </w:rPr>
              <w:t>a uvádějících učitelů</w:t>
            </w:r>
          </w:p>
          <w:p w14:paraId="5015A564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511A0DBD" w14:textId="77777777" w:rsidTr="008F755D">
        <w:trPr>
          <w:trHeight w:val="454"/>
        </w:trPr>
        <w:tc>
          <w:tcPr>
            <w:tcW w:w="2124" w:type="dxa"/>
            <w:vMerge/>
          </w:tcPr>
          <w:p w14:paraId="0E309DDF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7A2534BF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D.3.3 </w:t>
            </w:r>
            <w:r w:rsidRPr="006C6D19">
              <w:rPr>
                <w:rFonts w:cs="Calibri"/>
              </w:rPr>
              <w:t>Revize podpůrných</w:t>
            </w:r>
            <w:r>
              <w:rPr>
                <w:rFonts w:cs="Calibri"/>
              </w:rPr>
              <w:t xml:space="preserve"> </w:t>
            </w:r>
            <w:r w:rsidRPr="006C6D19">
              <w:rPr>
                <w:rFonts w:cs="Calibri"/>
              </w:rPr>
              <w:t>pedagogických činností</w:t>
            </w:r>
          </w:p>
          <w:p w14:paraId="00658132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3E46710A" w14:textId="77777777" w:rsidTr="008F755D">
        <w:trPr>
          <w:trHeight w:val="454"/>
        </w:trPr>
        <w:tc>
          <w:tcPr>
            <w:tcW w:w="2124" w:type="dxa"/>
            <w:vMerge/>
          </w:tcPr>
          <w:p w14:paraId="6F8DFCCD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35283757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D.3.4 </w:t>
            </w:r>
            <w:r w:rsidRPr="006C6D19">
              <w:rPr>
                <w:rFonts w:cs="Calibri"/>
              </w:rPr>
              <w:t>Revize požadavků na odbornou</w:t>
            </w:r>
            <w:r>
              <w:rPr>
                <w:rFonts w:cs="Calibri"/>
              </w:rPr>
              <w:t xml:space="preserve"> </w:t>
            </w:r>
            <w:r w:rsidRPr="006C6D19">
              <w:rPr>
                <w:rFonts w:cs="Calibri"/>
              </w:rPr>
              <w:t>kvalifikaci pedagogických</w:t>
            </w:r>
            <w:r>
              <w:rPr>
                <w:rFonts w:cs="Calibri"/>
              </w:rPr>
              <w:t xml:space="preserve"> </w:t>
            </w:r>
            <w:r w:rsidRPr="006C6D19">
              <w:rPr>
                <w:rFonts w:cs="Calibri"/>
              </w:rPr>
              <w:t>pracovníků</w:t>
            </w:r>
          </w:p>
          <w:p w14:paraId="62DFC99D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5267F48D" w14:textId="77777777" w:rsidTr="008F755D">
        <w:trPr>
          <w:trHeight w:val="454"/>
        </w:trPr>
        <w:tc>
          <w:tcPr>
            <w:tcW w:w="2124" w:type="dxa"/>
            <w:vMerge/>
          </w:tcPr>
          <w:p w14:paraId="2F6B60C7" w14:textId="77777777" w:rsidR="005C7852" w:rsidRPr="0050624B" w:rsidRDefault="005C7852" w:rsidP="008F755D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5" w:type="dxa"/>
          </w:tcPr>
          <w:p w14:paraId="456C8B75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D.3.5 </w:t>
            </w:r>
            <w:r w:rsidRPr="006C6D19">
              <w:rPr>
                <w:rFonts w:cs="Calibri"/>
              </w:rPr>
              <w:t>Systematická podpora</w:t>
            </w:r>
            <w:r>
              <w:rPr>
                <w:rFonts w:cs="Calibri"/>
              </w:rPr>
              <w:t xml:space="preserve"> </w:t>
            </w:r>
            <w:r w:rsidRPr="006C6D19">
              <w:rPr>
                <w:rFonts w:cs="Calibri"/>
              </w:rPr>
              <w:t>dalšího vzdělávání pedagogických</w:t>
            </w:r>
            <w:r>
              <w:rPr>
                <w:rFonts w:cs="Calibri"/>
              </w:rPr>
              <w:t xml:space="preserve"> </w:t>
            </w:r>
            <w:r w:rsidRPr="006C6D19">
              <w:rPr>
                <w:rFonts w:cs="Calibri"/>
              </w:rPr>
              <w:t>pracovníků</w:t>
            </w:r>
          </w:p>
          <w:p w14:paraId="702EE72F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</w:tbl>
    <w:p w14:paraId="791DB670" w14:textId="77777777" w:rsidR="005C7852" w:rsidRDefault="005C7852" w:rsidP="005C7852">
      <w:pPr>
        <w:rPr>
          <w:rFonts w:cs="Calibri"/>
        </w:rPr>
      </w:pPr>
    </w:p>
    <w:p w14:paraId="03ECD224" w14:textId="77777777" w:rsidR="005C7852" w:rsidRPr="004434DF" w:rsidRDefault="005C7852" w:rsidP="005C7852">
      <w:pPr>
        <w:spacing w:after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E</w:t>
      </w:r>
      <w:r w:rsidRPr="004434DF">
        <w:rPr>
          <w:rFonts w:cs="Calibri"/>
          <w:b/>
          <w:bCs/>
          <w:sz w:val="28"/>
          <w:szCs w:val="28"/>
          <w:u w:val="single"/>
        </w:rPr>
        <w:t xml:space="preserve">. </w:t>
      </w:r>
      <w:r>
        <w:rPr>
          <w:rFonts w:cs="Calibri"/>
          <w:b/>
          <w:bCs/>
          <w:sz w:val="28"/>
          <w:szCs w:val="28"/>
          <w:u w:val="single"/>
        </w:rPr>
        <w:t>Rovný přístup a efektivní podpora pro všechny žáky bez rozdílu</w:t>
      </w:r>
    </w:p>
    <w:p w14:paraId="2F464E79" w14:textId="77777777" w:rsidR="005C7852" w:rsidRDefault="005C7852" w:rsidP="005C7852">
      <w:pPr>
        <w:pStyle w:val="Bezmezer"/>
      </w:pPr>
    </w:p>
    <w:tbl>
      <w:tblPr>
        <w:tblStyle w:val="Mkatabulky"/>
        <w:tblW w:w="90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4"/>
        <w:gridCol w:w="6945"/>
      </w:tblGrid>
      <w:tr w:rsidR="005C7852" w:rsidRPr="0050624B" w14:paraId="4715E9AB" w14:textId="77777777" w:rsidTr="008F755D">
        <w:trPr>
          <w:trHeight w:val="454"/>
        </w:trPr>
        <w:tc>
          <w:tcPr>
            <w:tcW w:w="9069" w:type="dxa"/>
            <w:gridSpan w:val="2"/>
            <w:shd w:val="clear" w:color="auto" w:fill="C1E4F5" w:themeFill="accent1" w:themeFillTint="33"/>
            <w:vAlign w:val="center"/>
          </w:tcPr>
          <w:p w14:paraId="373D55EB" w14:textId="77777777" w:rsidR="005C7852" w:rsidRPr="00AD32A0" w:rsidRDefault="005C7852" w:rsidP="008F755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Pr="004434DF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 xml:space="preserve"> ROVNÝ PŘÍSTUP A EFEKTIVNÍ P</w:t>
            </w:r>
            <w:r w:rsidRPr="00AD32A0">
              <w:rPr>
                <w:rFonts w:cs="Calibri"/>
                <w:b/>
                <w:bCs/>
              </w:rPr>
              <w:t>ODPOR</w:t>
            </w:r>
            <w:r>
              <w:rPr>
                <w:rFonts w:cs="Calibri"/>
                <w:b/>
                <w:bCs/>
              </w:rPr>
              <w:t>A PRO VŠECHNY ŽÁKY BEZ ROZDÍLU</w:t>
            </w:r>
            <w:r w:rsidRPr="00AD32A0">
              <w:rPr>
                <w:rFonts w:cs="Calibri"/>
                <w:b/>
                <w:bCs/>
              </w:rPr>
              <w:t xml:space="preserve"> </w:t>
            </w:r>
          </w:p>
        </w:tc>
      </w:tr>
      <w:tr w:rsidR="005C7852" w:rsidRPr="0050624B" w14:paraId="115B6F8B" w14:textId="77777777" w:rsidTr="008F755D">
        <w:trPr>
          <w:trHeight w:val="454"/>
        </w:trPr>
        <w:tc>
          <w:tcPr>
            <w:tcW w:w="2124" w:type="dxa"/>
            <w:shd w:val="clear" w:color="auto" w:fill="C1E4F5" w:themeFill="accent1" w:themeFillTint="33"/>
            <w:vAlign w:val="center"/>
          </w:tcPr>
          <w:p w14:paraId="2EB22209" w14:textId="77777777" w:rsidR="005C7852" w:rsidRPr="0050624B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 xml:space="preserve">Opatření </w:t>
            </w:r>
          </w:p>
        </w:tc>
        <w:tc>
          <w:tcPr>
            <w:tcW w:w="6945" w:type="dxa"/>
            <w:shd w:val="clear" w:color="auto" w:fill="C1E4F5" w:themeFill="accent1" w:themeFillTint="33"/>
            <w:vAlign w:val="center"/>
          </w:tcPr>
          <w:p w14:paraId="02D06FBE" w14:textId="77777777" w:rsidR="005C7852" w:rsidRPr="0050624B" w:rsidRDefault="005C7852" w:rsidP="008F755D">
            <w:pPr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>Vyhodnocení</w:t>
            </w:r>
            <w:r>
              <w:rPr>
                <w:rFonts w:cs="Calibri"/>
                <w:b/>
                <w:bCs/>
              </w:rPr>
              <w:t xml:space="preserve"> klíčových aktivit</w:t>
            </w:r>
          </w:p>
        </w:tc>
      </w:tr>
      <w:tr w:rsidR="005C7852" w:rsidRPr="0050624B" w14:paraId="7CA7734F" w14:textId="77777777" w:rsidTr="008F755D">
        <w:trPr>
          <w:trHeight w:val="454"/>
        </w:trPr>
        <w:tc>
          <w:tcPr>
            <w:tcW w:w="2124" w:type="dxa"/>
            <w:vMerge w:val="restart"/>
          </w:tcPr>
          <w:p w14:paraId="7BD2DEB8" w14:textId="77777777" w:rsidR="005C7852" w:rsidRPr="005337F1" w:rsidRDefault="005C7852" w:rsidP="008F755D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E.1</w:t>
            </w:r>
          </w:p>
          <w:p w14:paraId="63B724AA" w14:textId="77777777" w:rsidR="005C7852" w:rsidRPr="00D37BE3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D37BE3">
              <w:rPr>
                <w:rFonts w:cs="Calibri"/>
                <w:b/>
                <w:bCs/>
              </w:rPr>
              <w:t>Systém financování</w:t>
            </w:r>
          </w:p>
          <w:p w14:paraId="04067649" w14:textId="77777777" w:rsidR="005C7852" w:rsidRPr="00D37BE3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D37BE3">
              <w:rPr>
                <w:rFonts w:cs="Calibri"/>
                <w:b/>
                <w:bCs/>
              </w:rPr>
              <w:t>a podpory pro</w:t>
            </w:r>
          </w:p>
          <w:p w14:paraId="06F490E9" w14:textId="77777777" w:rsidR="005C7852" w:rsidRPr="00D37BE3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D37BE3">
              <w:rPr>
                <w:rFonts w:cs="Calibri"/>
                <w:b/>
                <w:bCs/>
              </w:rPr>
              <w:t>nejpotřebnější školy</w:t>
            </w:r>
          </w:p>
          <w:p w14:paraId="6F67EB92" w14:textId="77777777" w:rsidR="005C7852" w:rsidRPr="0050624B" w:rsidRDefault="005C7852" w:rsidP="008F755D">
            <w:pPr>
              <w:ind w:right="-309"/>
              <w:rPr>
                <w:rFonts w:cs="Calibri"/>
              </w:rPr>
            </w:pPr>
            <w:r w:rsidRPr="00D37BE3">
              <w:rPr>
                <w:rFonts w:cs="Calibri"/>
                <w:b/>
                <w:bCs/>
              </w:rPr>
              <w:t>a žáky</w:t>
            </w:r>
          </w:p>
        </w:tc>
        <w:tc>
          <w:tcPr>
            <w:tcW w:w="6945" w:type="dxa"/>
          </w:tcPr>
          <w:p w14:paraId="00C53156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E.1.1 </w:t>
            </w:r>
            <w:r w:rsidRPr="00D37BE3">
              <w:rPr>
                <w:rFonts w:cs="Calibri"/>
              </w:rPr>
              <w:t>Návrh ukotvení indexového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financování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škol</w:t>
            </w:r>
          </w:p>
          <w:p w14:paraId="280255EF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7E090585" w14:textId="77777777" w:rsidTr="008F755D">
        <w:trPr>
          <w:trHeight w:val="454"/>
        </w:trPr>
        <w:tc>
          <w:tcPr>
            <w:tcW w:w="2124" w:type="dxa"/>
            <w:vMerge/>
          </w:tcPr>
          <w:p w14:paraId="3EFF9FF6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6FA88525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E.1.2 </w:t>
            </w:r>
            <w:r w:rsidRPr="00D37BE3">
              <w:rPr>
                <w:rFonts w:cs="Calibri"/>
              </w:rPr>
              <w:t>Metodická podpora pro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školy s vyšším podílem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znevýhodněných žáků</w:t>
            </w:r>
          </w:p>
          <w:p w14:paraId="2F08C20C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3E7D71C1" w14:textId="77777777" w:rsidTr="008F755D">
        <w:trPr>
          <w:trHeight w:val="454"/>
        </w:trPr>
        <w:tc>
          <w:tcPr>
            <w:tcW w:w="2124" w:type="dxa"/>
            <w:vMerge/>
          </w:tcPr>
          <w:p w14:paraId="3B25C43D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32E63AFE" w14:textId="77777777" w:rsidR="005C7852" w:rsidRPr="00D37BE3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E.1.3 </w:t>
            </w:r>
            <w:r w:rsidRPr="00D37BE3">
              <w:rPr>
                <w:rFonts w:cs="Calibri"/>
              </w:rPr>
              <w:t>Systém individualizované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podpory dětí/žáků se sociálním</w:t>
            </w:r>
          </w:p>
          <w:p w14:paraId="4571EC27" w14:textId="77777777" w:rsidR="005C7852" w:rsidRPr="0050624B" w:rsidRDefault="005C7852" w:rsidP="008F755D">
            <w:pPr>
              <w:rPr>
                <w:rFonts w:cs="Calibri"/>
              </w:rPr>
            </w:pPr>
            <w:r w:rsidRPr="00D37BE3">
              <w:rPr>
                <w:rFonts w:cs="Calibri"/>
              </w:rPr>
              <w:t>Znevýhodněním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k pokrytí základních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materiálních potřeb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ve vzdělávání</w:t>
            </w:r>
          </w:p>
        </w:tc>
      </w:tr>
      <w:tr w:rsidR="005C7852" w:rsidRPr="0050624B" w14:paraId="58AADCA6" w14:textId="77777777" w:rsidTr="008F755D">
        <w:trPr>
          <w:trHeight w:val="454"/>
        </w:trPr>
        <w:tc>
          <w:tcPr>
            <w:tcW w:w="2124" w:type="dxa"/>
            <w:vMerge/>
          </w:tcPr>
          <w:p w14:paraId="6D81CDEE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27C614FB" w14:textId="77777777" w:rsidR="005C7852" w:rsidRPr="00D37BE3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E.1.4 </w:t>
            </w:r>
            <w:r w:rsidRPr="00D37BE3">
              <w:rPr>
                <w:rFonts w:cs="Calibri"/>
              </w:rPr>
              <w:t>Zefektivnění systému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školských poradenských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zařízení zavedením</w:t>
            </w:r>
          </w:p>
          <w:p w14:paraId="751F9BD9" w14:textId="77777777" w:rsidR="005C7852" w:rsidRPr="0050624B" w:rsidRDefault="005C7852" w:rsidP="008F755D">
            <w:pPr>
              <w:rPr>
                <w:rFonts w:cs="Calibri"/>
              </w:rPr>
            </w:pPr>
            <w:r w:rsidRPr="00D37BE3">
              <w:rPr>
                <w:rFonts w:cs="Calibri"/>
              </w:rPr>
              <w:t>sjednocených postupů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při poskytování poradenských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služeb</w:t>
            </w:r>
            <w:r>
              <w:rPr>
                <w:rFonts w:cs="Calibri"/>
              </w:rPr>
              <w:t xml:space="preserve"> </w:t>
            </w:r>
          </w:p>
        </w:tc>
      </w:tr>
      <w:tr w:rsidR="005C7852" w:rsidRPr="0050624B" w14:paraId="206D1E52" w14:textId="77777777" w:rsidTr="008F755D">
        <w:trPr>
          <w:trHeight w:val="454"/>
        </w:trPr>
        <w:tc>
          <w:tcPr>
            <w:tcW w:w="2124" w:type="dxa"/>
          </w:tcPr>
          <w:p w14:paraId="2DDFC038" w14:textId="77777777" w:rsidR="005C7852" w:rsidRPr="005337F1" w:rsidRDefault="005C7852" w:rsidP="008F755D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E.2</w:t>
            </w:r>
          </w:p>
          <w:p w14:paraId="7BDDFE1B" w14:textId="77777777" w:rsidR="005C7852" w:rsidRPr="00D37BE3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D37BE3">
              <w:rPr>
                <w:rFonts w:cs="Calibri"/>
                <w:b/>
                <w:bCs/>
              </w:rPr>
              <w:t>Maximalizace</w:t>
            </w:r>
          </w:p>
          <w:p w14:paraId="0E6A42E1" w14:textId="77777777" w:rsidR="005C7852" w:rsidRPr="00D37BE3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D37BE3">
              <w:rPr>
                <w:rFonts w:cs="Calibri"/>
                <w:b/>
                <w:bCs/>
              </w:rPr>
              <w:t>účasti sociálně</w:t>
            </w:r>
          </w:p>
          <w:p w14:paraId="1D9468F6" w14:textId="77777777" w:rsidR="005C7852" w:rsidRPr="00D37BE3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D37BE3">
              <w:rPr>
                <w:rFonts w:cs="Calibri"/>
                <w:b/>
                <w:bCs/>
              </w:rPr>
              <w:t>znevýhodněných</w:t>
            </w:r>
          </w:p>
          <w:p w14:paraId="618B7A2F" w14:textId="77777777" w:rsidR="005C7852" w:rsidRPr="00D37BE3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D37BE3">
              <w:rPr>
                <w:rFonts w:cs="Calibri"/>
                <w:b/>
                <w:bCs/>
              </w:rPr>
              <w:t>dětí na předškolním</w:t>
            </w:r>
          </w:p>
          <w:p w14:paraId="3EDB4E97" w14:textId="77777777" w:rsidR="005C7852" w:rsidRPr="0050624B" w:rsidRDefault="005C7852" w:rsidP="008F755D">
            <w:pPr>
              <w:ind w:right="-309"/>
              <w:rPr>
                <w:rFonts w:cs="Calibri"/>
              </w:rPr>
            </w:pPr>
            <w:r w:rsidRPr="00D37BE3">
              <w:rPr>
                <w:rFonts w:cs="Calibri"/>
                <w:b/>
                <w:bCs/>
              </w:rPr>
              <w:t>vzdělávání</w:t>
            </w:r>
          </w:p>
        </w:tc>
        <w:tc>
          <w:tcPr>
            <w:tcW w:w="6945" w:type="dxa"/>
          </w:tcPr>
          <w:p w14:paraId="7E62D7CF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E.2.1 </w:t>
            </w:r>
            <w:r w:rsidRPr="00D37BE3">
              <w:rPr>
                <w:rFonts w:cs="Calibri"/>
              </w:rPr>
              <w:t>Vytvoření podmínek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pro navázání spolupráce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školy s rodinou</w:t>
            </w:r>
          </w:p>
          <w:p w14:paraId="30FE220D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5C7852" w:rsidRPr="0050624B" w14:paraId="490E79AD" w14:textId="77777777" w:rsidTr="008F755D">
        <w:trPr>
          <w:trHeight w:val="454"/>
        </w:trPr>
        <w:tc>
          <w:tcPr>
            <w:tcW w:w="2124" w:type="dxa"/>
            <w:vMerge w:val="restart"/>
          </w:tcPr>
          <w:p w14:paraId="15310237" w14:textId="77777777" w:rsidR="005C7852" w:rsidRPr="005337F1" w:rsidRDefault="005C7852" w:rsidP="008F755D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E.3</w:t>
            </w:r>
          </w:p>
          <w:p w14:paraId="142EA3F7" w14:textId="77777777" w:rsidR="005C7852" w:rsidRPr="00D37BE3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D37BE3">
              <w:rPr>
                <w:rFonts w:cs="Calibri"/>
                <w:b/>
                <w:bCs/>
              </w:rPr>
              <w:t>Implementace</w:t>
            </w:r>
          </w:p>
          <w:p w14:paraId="5C55061B" w14:textId="77777777" w:rsidR="005C7852" w:rsidRPr="00D37BE3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D37BE3">
              <w:rPr>
                <w:rFonts w:cs="Calibri"/>
                <w:b/>
                <w:bCs/>
              </w:rPr>
              <w:t>institucionalizace specializovaných</w:t>
            </w:r>
          </w:p>
          <w:p w14:paraId="44D82FAC" w14:textId="77777777" w:rsidR="005C7852" w:rsidRPr="005337F1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D37BE3">
              <w:rPr>
                <w:rFonts w:cs="Calibri"/>
                <w:b/>
                <w:bCs/>
              </w:rPr>
              <w:t>pozic</w:t>
            </w:r>
          </w:p>
        </w:tc>
        <w:tc>
          <w:tcPr>
            <w:tcW w:w="6945" w:type="dxa"/>
          </w:tcPr>
          <w:p w14:paraId="34A9A89C" w14:textId="77777777" w:rsidR="005C7852" w:rsidRPr="00D37BE3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E.3.1 </w:t>
            </w:r>
            <w:r w:rsidRPr="00D37BE3">
              <w:rPr>
                <w:rFonts w:cs="Calibri"/>
              </w:rPr>
              <w:t>Nastavení spádovosti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pedagogicko-psychologických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poraden ve</w:t>
            </w:r>
          </w:p>
          <w:p w14:paraId="6BB63B51" w14:textId="77777777" w:rsidR="005C7852" w:rsidRPr="0050624B" w:rsidRDefault="005C7852" w:rsidP="008F755D">
            <w:pPr>
              <w:rPr>
                <w:rFonts w:cs="Calibri"/>
              </w:rPr>
            </w:pPr>
            <w:r w:rsidRPr="00D37BE3">
              <w:rPr>
                <w:rFonts w:cs="Calibri"/>
              </w:rPr>
              <w:t>vztahu k</w:t>
            </w:r>
            <w:r>
              <w:rPr>
                <w:rFonts w:cs="Calibri"/>
              </w:rPr>
              <w:t> </w:t>
            </w:r>
            <w:r w:rsidRPr="00D37BE3">
              <w:rPr>
                <w:rFonts w:cs="Calibri"/>
              </w:rPr>
              <w:t>institucionalizaci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podpůrných pozic</w:t>
            </w:r>
          </w:p>
        </w:tc>
      </w:tr>
      <w:tr w:rsidR="005C7852" w:rsidRPr="0050624B" w14:paraId="463945AB" w14:textId="77777777" w:rsidTr="008F755D">
        <w:trPr>
          <w:trHeight w:val="454"/>
        </w:trPr>
        <w:tc>
          <w:tcPr>
            <w:tcW w:w="2124" w:type="dxa"/>
            <w:vMerge/>
          </w:tcPr>
          <w:p w14:paraId="4B5EC760" w14:textId="77777777" w:rsidR="005C7852" w:rsidRPr="0050624B" w:rsidRDefault="005C7852" w:rsidP="008F755D">
            <w:pPr>
              <w:ind w:right="-309"/>
              <w:rPr>
                <w:rFonts w:cs="Calibri"/>
              </w:rPr>
            </w:pPr>
          </w:p>
        </w:tc>
        <w:tc>
          <w:tcPr>
            <w:tcW w:w="6945" w:type="dxa"/>
          </w:tcPr>
          <w:p w14:paraId="0E138C70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E.3.2 </w:t>
            </w:r>
            <w:r w:rsidRPr="00D37BE3">
              <w:rPr>
                <w:rFonts w:cs="Calibri"/>
              </w:rPr>
              <w:t>Systémová podpora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činnosti školních poradenských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>pracovišť</w:t>
            </w:r>
          </w:p>
          <w:p w14:paraId="1EFF6102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43A77487" w14:textId="77777777" w:rsidTr="008F755D">
        <w:trPr>
          <w:trHeight w:val="454"/>
        </w:trPr>
        <w:tc>
          <w:tcPr>
            <w:tcW w:w="2124" w:type="dxa"/>
            <w:vMerge/>
          </w:tcPr>
          <w:p w14:paraId="1E3296F3" w14:textId="77777777" w:rsidR="005C7852" w:rsidRPr="0050624B" w:rsidRDefault="005C7852" w:rsidP="008F755D">
            <w:pPr>
              <w:ind w:right="-309"/>
              <w:rPr>
                <w:rFonts w:cs="Calibri"/>
              </w:rPr>
            </w:pPr>
          </w:p>
        </w:tc>
        <w:tc>
          <w:tcPr>
            <w:tcW w:w="6945" w:type="dxa"/>
          </w:tcPr>
          <w:p w14:paraId="15D5BC5A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>E.3.3</w:t>
            </w:r>
            <w:r>
              <w:t xml:space="preserve"> </w:t>
            </w:r>
            <w:r w:rsidRPr="00D37BE3">
              <w:rPr>
                <w:rFonts w:cs="Calibri"/>
              </w:rPr>
              <w:t>Zvyšování počtu obsazených</w:t>
            </w:r>
            <w:r>
              <w:rPr>
                <w:rFonts w:cs="Calibri"/>
              </w:rPr>
              <w:t xml:space="preserve"> </w:t>
            </w:r>
            <w:r w:rsidRPr="00D37BE3">
              <w:rPr>
                <w:rFonts w:cs="Calibri"/>
              </w:rPr>
              <w:t xml:space="preserve">pozic </w:t>
            </w:r>
            <w:r>
              <w:rPr>
                <w:rFonts w:cs="Calibri"/>
              </w:rPr>
              <w:t>školních psychologů a školních speciálních pedagogů (ŠP a ŠSP)</w:t>
            </w:r>
          </w:p>
        </w:tc>
      </w:tr>
    </w:tbl>
    <w:p w14:paraId="0A2E42DA" w14:textId="77777777" w:rsidR="005C7852" w:rsidRPr="0050624B" w:rsidRDefault="005C7852" w:rsidP="005C7852">
      <w:pPr>
        <w:rPr>
          <w:rFonts w:cs="Calibri"/>
        </w:rPr>
      </w:pPr>
    </w:p>
    <w:p w14:paraId="2BC75693" w14:textId="77777777" w:rsidR="005C7852" w:rsidRPr="004434DF" w:rsidRDefault="005C7852" w:rsidP="005C7852">
      <w:pPr>
        <w:spacing w:after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F</w:t>
      </w:r>
      <w:r w:rsidRPr="004434DF">
        <w:rPr>
          <w:rFonts w:cs="Calibri"/>
          <w:b/>
          <w:bCs/>
          <w:sz w:val="28"/>
          <w:szCs w:val="28"/>
          <w:u w:val="single"/>
        </w:rPr>
        <w:t xml:space="preserve">. </w:t>
      </w:r>
      <w:r>
        <w:rPr>
          <w:rFonts w:cs="Calibri"/>
          <w:b/>
          <w:bCs/>
          <w:sz w:val="28"/>
          <w:szCs w:val="28"/>
          <w:u w:val="single"/>
        </w:rPr>
        <w:t>Prevence rizikového chování a náhradní rodinná péče</w:t>
      </w:r>
    </w:p>
    <w:p w14:paraId="195113C8" w14:textId="77777777" w:rsidR="005C7852" w:rsidRDefault="005C7852" w:rsidP="005C7852">
      <w:pPr>
        <w:pStyle w:val="Bezmezer"/>
      </w:pPr>
    </w:p>
    <w:tbl>
      <w:tblPr>
        <w:tblStyle w:val="Mkatabulky"/>
        <w:tblW w:w="90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4"/>
        <w:gridCol w:w="6945"/>
      </w:tblGrid>
      <w:tr w:rsidR="005C7852" w:rsidRPr="0050624B" w14:paraId="37C39148" w14:textId="77777777" w:rsidTr="008F755D">
        <w:trPr>
          <w:trHeight w:val="454"/>
        </w:trPr>
        <w:tc>
          <w:tcPr>
            <w:tcW w:w="9069" w:type="dxa"/>
            <w:gridSpan w:val="2"/>
            <w:shd w:val="clear" w:color="auto" w:fill="C1E4F5" w:themeFill="accent1" w:themeFillTint="33"/>
            <w:vAlign w:val="center"/>
          </w:tcPr>
          <w:p w14:paraId="567092FB" w14:textId="77777777" w:rsidR="005C7852" w:rsidRPr="004434DF" w:rsidRDefault="005C7852" w:rsidP="008F755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F</w:t>
            </w:r>
            <w:r w:rsidRPr="004434DF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 xml:space="preserve"> PREVENCE RIZIKOVÉHO CHOVÁNÍ A NÁHRADNÍ RODINNÁ PÉČE</w:t>
            </w:r>
          </w:p>
        </w:tc>
      </w:tr>
      <w:tr w:rsidR="005C7852" w:rsidRPr="0050624B" w14:paraId="156D6CB8" w14:textId="77777777" w:rsidTr="008F755D">
        <w:trPr>
          <w:trHeight w:val="454"/>
        </w:trPr>
        <w:tc>
          <w:tcPr>
            <w:tcW w:w="2124" w:type="dxa"/>
            <w:shd w:val="clear" w:color="auto" w:fill="C1E4F5" w:themeFill="accent1" w:themeFillTint="33"/>
            <w:vAlign w:val="center"/>
          </w:tcPr>
          <w:p w14:paraId="64A958C9" w14:textId="77777777" w:rsidR="005C7852" w:rsidRPr="0050624B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 xml:space="preserve">Opatření </w:t>
            </w:r>
          </w:p>
        </w:tc>
        <w:tc>
          <w:tcPr>
            <w:tcW w:w="6945" w:type="dxa"/>
            <w:shd w:val="clear" w:color="auto" w:fill="C1E4F5" w:themeFill="accent1" w:themeFillTint="33"/>
            <w:vAlign w:val="center"/>
          </w:tcPr>
          <w:p w14:paraId="4FC00ADC" w14:textId="77777777" w:rsidR="005C7852" w:rsidRPr="0050624B" w:rsidRDefault="005C7852" w:rsidP="008F755D">
            <w:pPr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>Vyhodnocení</w:t>
            </w:r>
            <w:r>
              <w:rPr>
                <w:rFonts w:cs="Calibri"/>
                <w:b/>
                <w:bCs/>
              </w:rPr>
              <w:t xml:space="preserve"> klíčových aktivit</w:t>
            </w:r>
          </w:p>
        </w:tc>
      </w:tr>
      <w:tr w:rsidR="005C7852" w:rsidRPr="0050624B" w14:paraId="30B0C354" w14:textId="77777777" w:rsidTr="008F755D">
        <w:trPr>
          <w:trHeight w:val="454"/>
        </w:trPr>
        <w:tc>
          <w:tcPr>
            <w:tcW w:w="2124" w:type="dxa"/>
            <w:vMerge w:val="restart"/>
          </w:tcPr>
          <w:p w14:paraId="21F09DAC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F.1</w:t>
            </w:r>
          </w:p>
          <w:p w14:paraId="26DD8642" w14:textId="77777777" w:rsidR="005C7852" w:rsidRPr="00E533AA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E533AA">
              <w:rPr>
                <w:rFonts w:cs="Calibri"/>
                <w:b/>
                <w:bCs/>
              </w:rPr>
              <w:t>Prevence rizikového</w:t>
            </w:r>
          </w:p>
          <w:p w14:paraId="1B74635A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E533AA">
              <w:rPr>
                <w:rFonts w:cs="Calibri"/>
                <w:b/>
                <w:bCs/>
              </w:rPr>
              <w:t>chování</w:t>
            </w:r>
          </w:p>
        </w:tc>
        <w:tc>
          <w:tcPr>
            <w:tcW w:w="6945" w:type="dxa"/>
          </w:tcPr>
          <w:p w14:paraId="5B143136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F.1.1 </w:t>
            </w:r>
            <w:r w:rsidRPr="00E533AA">
              <w:rPr>
                <w:rFonts w:cs="Calibri"/>
              </w:rPr>
              <w:t>Stabilizace a systémová</w:t>
            </w:r>
            <w:r>
              <w:rPr>
                <w:rFonts w:cs="Calibri"/>
              </w:rPr>
              <w:t xml:space="preserve"> </w:t>
            </w:r>
            <w:r w:rsidRPr="00E533AA">
              <w:rPr>
                <w:rFonts w:cs="Calibri"/>
              </w:rPr>
              <w:t>podpora řízení a koordinace</w:t>
            </w:r>
            <w:r>
              <w:rPr>
                <w:rFonts w:cs="Calibri"/>
              </w:rPr>
              <w:t xml:space="preserve"> </w:t>
            </w:r>
            <w:r w:rsidRPr="00E533AA">
              <w:rPr>
                <w:rFonts w:cs="Calibri"/>
              </w:rPr>
              <w:t>systému primární</w:t>
            </w:r>
            <w:r>
              <w:rPr>
                <w:rFonts w:cs="Calibri"/>
              </w:rPr>
              <w:t xml:space="preserve"> </w:t>
            </w:r>
            <w:r w:rsidRPr="00E533AA">
              <w:rPr>
                <w:rFonts w:cs="Calibri"/>
              </w:rPr>
              <w:t>prevence</w:t>
            </w:r>
          </w:p>
        </w:tc>
      </w:tr>
      <w:tr w:rsidR="005C7852" w:rsidRPr="0050624B" w14:paraId="2B3BB911" w14:textId="77777777" w:rsidTr="008F755D">
        <w:trPr>
          <w:trHeight w:val="454"/>
        </w:trPr>
        <w:tc>
          <w:tcPr>
            <w:tcW w:w="2124" w:type="dxa"/>
            <w:vMerge/>
          </w:tcPr>
          <w:p w14:paraId="084237C6" w14:textId="77777777" w:rsidR="005C7852" w:rsidRPr="0050624B" w:rsidRDefault="005C7852" w:rsidP="008F755D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5" w:type="dxa"/>
          </w:tcPr>
          <w:p w14:paraId="6F625AA1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F.1.2 </w:t>
            </w:r>
            <w:r w:rsidRPr="00E533AA">
              <w:rPr>
                <w:rFonts w:cs="Calibri"/>
              </w:rPr>
              <w:t>Vytvoření systému hodnocení</w:t>
            </w:r>
            <w:r>
              <w:rPr>
                <w:rFonts w:cs="Calibri"/>
              </w:rPr>
              <w:t xml:space="preserve"> </w:t>
            </w:r>
            <w:r w:rsidRPr="00E533AA">
              <w:rPr>
                <w:rFonts w:cs="Calibri"/>
              </w:rPr>
              <w:t>kvality programů</w:t>
            </w:r>
            <w:r>
              <w:rPr>
                <w:rFonts w:cs="Calibri"/>
              </w:rPr>
              <w:t xml:space="preserve"> </w:t>
            </w:r>
            <w:r w:rsidRPr="00E533AA">
              <w:rPr>
                <w:rFonts w:cs="Calibri"/>
              </w:rPr>
              <w:t>školské primární prevence</w:t>
            </w:r>
          </w:p>
        </w:tc>
      </w:tr>
      <w:tr w:rsidR="005C7852" w:rsidRPr="0050624B" w14:paraId="6CFD2035" w14:textId="77777777" w:rsidTr="008F755D">
        <w:trPr>
          <w:trHeight w:val="454"/>
        </w:trPr>
        <w:tc>
          <w:tcPr>
            <w:tcW w:w="2124" w:type="dxa"/>
            <w:vMerge/>
          </w:tcPr>
          <w:p w14:paraId="2D378E47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475A101C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F.1.3 </w:t>
            </w:r>
            <w:r w:rsidRPr="00E533AA">
              <w:rPr>
                <w:rFonts w:cs="Calibri"/>
              </w:rPr>
              <w:t>Monitoring a hodnocení</w:t>
            </w:r>
            <w:r>
              <w:rPr>
                <w:rFonts w:cs="Calibri"/>
              </w:rPr>
              <w:t xml:space="preserve"> </w:t>
            </w:r>
            <w:r w:rsidRPr="00E533AA">
              <w:rPr>
                <w:rFonts w:cs="Calibri"/>
              </w:rPr>
              <w:t>preventivních aktivit škol</w:t>
            </w:r>
            <w:r>
              <w:rPr>
                <w:rFonts w:cs="Calibri"/>
              </w:rPr>
              <w:t xml:space="preserve"> </w:t>
            </w:r>
            <w:r w:rsidRPr="00E533AA">
              <w:rPr>
                <w:rFonts w:cs="Calibri"/>
              </w:rPr>
              <w:t>a školských zařízení</w:t>
            </w:r>
          </w:p>
          <w:p w14:paraId="6528E59A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57499328" w14:textId="77777777" w:rsidTr="008F755D">
        <w:trPr>
          <w:trHeight w:val="454"/>
        </w:trPr>
        <w:tc>
          <w:tcPr>
            <w:tcW w:w="2124" w:type="dxa"/>
            <w:vMerge w:val="restart"/>
          </w:tcPr>
          <w:p w14:paraId="45C9743C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F.2</w:t>
            </w:r>
          </w:p>
          <w:p w14:paraId="5C7CF9B0" w14:textId="77777777" w:rsidR="005C7852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E533AA">
              <w:rPr>
                <w:rFonts w:cs="Calibri"/>
                <w:b/>
                <w:bCs/>
              </w:rPr>
              <w:t xml:space="preserve">Preventivně </w:t>
            </w:r>
            <w:r>
              <w:rPr>
                <w:rFonts w:cs="Calibri"/>
                <w:b/>
                <w:bCs/>
              </w:rPr>
              <w:br/>
              <w:t>v</w:t>
            </w:r>
            <w:r w:rsidRPr="00E533AA">
              <w:rPr>
                <w:rFonts w:cs="Calibri"/>
                <w:b/>
                <w:bCs/>
              </w:rPr>
              <w:t>ýchovná</w:t>
            </w:r>
            <w:r>
              <w:rPr>
                <w:rFonts w:cs="Calibri"/>
                <w:b/>
                <w:bCs/>
              </w:rPr>
              <w:t xml:space="preserve"> </w:t>
            </w:r>
            <w:r w:rsidRPr="00E533AA">
              <w:rPr>
                <w:rFonts w:cs="Calibri"/>
                <w:b/>
                <w:bCs/>
              </w:rPr>
              <w:t xml:space="preserve">péče </w:t>
            </w:r>
          </w:p>
          <w:p w14:paraId="4183B140" w14:textId="77777777" w:rsidR="005C7852" w:rsidRPr="00E533AA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E533AA">
              <w:rPr>
                <w:rFonts w:cs="Calibri"/>
                <w:b/>
                <w:bCs/>
              </w:rPr>
              <w:t>– střediska</w:t>
            </w:r>
          </w:p>
          <w:p w14:paraId="7433B5B2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E533AA">
              <w:rPr>
                <w:rFonts w:cs="Calibri"/>
                <w:b/>
                <w:bCs/>
              </w:rPr>
              <w:t>výchovné péče</w:t>
            </w:r>
          </w:p>
        </w:tc>
        <w:tc>
          <w:tcPr>
            <w:tcW w:w="6945" w:type="dxa"/>
          </w:tcPr>
          <w:p w14:paraId="7ECE5882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F.2.1 </w:t>
            </w:r>
            <w:r w:rsidRPr="00E533AA">
              <w:rPr>
                <w:rFonts w:cs="Calibri"/>
              </w:rPr>
              <w:t>Rozvoj sítě středisek</w:t>
            </w:r>
            <w:r>
              <w:rPr>
                <w:rFonts w:cs="Calibri"/>
              </w:rPr>
              <w:t xml:space="preserve"> </w:t>
            </w:r>
            <w:r w:rsidRPr="00E533AA">
              <w:rPr>
                <w:rFonts w:cs="Calibri"/>
              </w:rPr>
              <w:t>výchovné péče</w:t>
            </w:r>
          </w:p>
          <w:p w14:paraId="4D267454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5CC03622" w14:textId="77777777" w:rsidTr="008F755D">
        <w:trPr>
          <w:trHeight w:val="454"/>
        </w:trPr>
        <w:tc>
          <w:tcPr>
            <w:tcW w:w="2124" w:type="dxa"/>
            <w:vMerge/>
          </w:tcPr>
          <w:p w14:paraId="3C9F3ACD" w14:textId="77777777" w:rsidR="005C7852" w:rsidRPr="0050624B" w:rsidRDefault="005C7852" w:rsidP="008F755D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5" w:type="dxa"/>
          </w:tcPr>
          <w:p w14:paraId="439F9913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F.2.2 </w:t>
            </w:r>
            <w:r w:rsidRPr="00E533AA">
              <w:rPr>
                <w:rFonts w:cs="Calibri"/>
              </w:rPr>
              <w:t>Revize standardů kvality</w:t>
            </w:r>
            <w:r>
              <w:rPr>
                <w:rFonts w:cs="Calibri"/>
              </w:rPr>
              <w:t xml:space="preserve"> </w:t>
            </w:r>
            <w:r w:rsidRPr="00E533AA">
              <w:rPr>
                <w:rFonts w:cs="Calibri"/>
              </w:rPr>
              <w:t>v ambulantních formách</w:t>
            </w:r>
            <w:r>
              <w:rPr>
                <w:rFonts w:cs="Calibri"/>
              </w:rPr>
              <w:t xml:space="preserve"> </w:t>
            </w:r>
            <w:r w:rsidRPr="00E533AA">
              <w:rPr>
                <w:rFonts w:cs="Calibri"/>
              </w:rPr>
              <w:t>středisek výchovné péče</w:t>
            </w:r>
          </w:p>
        </w:tc>
      </w:tr>
      <w:tr w:rsidR="005C7852" w:rsidRPr="0050624B" w14:paraId="608772A9" w14:textId="77777777" w:rsidTr="008F755D">
        <w:trPr>
          <w:trHeight w:val="454"/>
        </w:trPr>
        <w:tc>
          <w:tcPr>
            <w:tcW w:w="2124" w:type="dxa"/>
            <w:vMerge/>
          </w:tcPr>
          <w:p w14:paraId="54E99416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1FE2F2C0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F.2.3 </w:t>
            </w:r>
            <w:r w:rsidRPr="00E533AA">
              <w:rPr>
                <w:rFonts w:cs="Calibri"/>
              </w:rPr>
              <w:t>Standardy kvality v</w:t>
            </w:r>
            <w:r>
              <w:rPr>
                <w:rFonts w:cs="Calibri"/>
              </w:rPr>
              <w:t> </w:t>
            </w:r>
            <w:r w:rsidRPr="00E533AA">
              <w:rPr>
                <w:rFonts w:cs="Calibri"/>
              </w:rPr>
              <w:t>celodenních</w:t>
            </w:r>
            <w:r>
              <w:rPr>
                <w:rFonts w:cs="Calibri"/>
              </w:rPr>
              <w:t xml:space="preserve"> </w:t>
            </w:r>
            <w:r w:rsidRPr="00E533AA">
              <w:rPr>
                <w:rFonts w:cs="Calibri"/>
              </w:rPr>
              <w:t>a internátních</w:t>
            </w:r>
            <w:r>
              <w:rPr>
                <w:rFonts w:cs="Calibri"/>
              </w:rPr>
              <w:t xml:space="preserve"> </w:t>
            </w:r>
            <w:r w:rsidRPr="00E533AA">
              <w:rPr>
                <w:rFonts w:cs="Calibri"/>
              </w:rPr>
              <w:t>formách středisek výchovné</w:t>
            </w:r>
            <w:r>
              <w:rPr>
                <w:rFonts w:cs="Calibri"/>
              </w:rPr>
              <w:t xml:space="preserve"> </w:t>
            </w:r>
            <w:r w:rsidRPr="00E533AA">
              <w:rPr>
                <w:rFonts w:cs="Calibri"/>
              </w:rPr>
              <w:t>péče</w:t>
            </w:r>
          </w:p>
        </w:tc>
      </w:tr>
      <w:tr w:rsidR="005C7852" w:rsidRPr="0050624B" w14:paraId="0C15B4FF" w14:textId="77777777" w:rsidTr="008F755D">
        <w:trPr>
          <w:trHeight w:val="454"/>
        </w:trPr>
        <w:tc>
          <w:tcPr>
            <w:tcW w:w="2124" w:type="dxa"/>
            <w:vMerge w:val="restart"/>
          </w:tcPr>
          <w:p w14:paraId="47469F1A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F.3</w:t>
            </w:r>
          </w:p>
          <w:p w14:paraId="7B527CE3" w14:textId="77777777" w:rsidR="005C7852" w:rsidRPr="00E533AA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E533AA">
              <w:rPr>
                <w:rFonts w:cs="Calibri"/>
                <w:b/>
                <w:bCs/>
              </w:rPr>
              <w:t>Revize podoby</w:t>
            </w:r>
          </w:p>
          <w:p w14:paraId="268E0581" w14:textId="77777777" w:rsidR="005C7852" w:rsidRPr="00E533AA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E533AA">
              <w:rPr>
                <w:rFonts w:cs="Calibri"/>
                <w:b/>
                <w:bCs/>
              </w:rPr>
              <w:t>ústavní a ochranné</w:t>
            </w:r>
          </w:p>
          <w:p w14:paraId="3175F537" w14:textId="77777777" w:rsidR="005C7852" w:rsidRPr="00E533AA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E533AA">
              <w:rPr>
                <w:rFonts w:cs="Calibri"/>
                <w:b/>
                <w:bCs/>
              </w:rPr>
              <w:t>výchovy</w:t>
            </w:r>
          </w:p>
          <w:p w14:paraId="154D002C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  <w:r w:rsidRPr="00E533AA">
              <w:rPr>
                <w:rFonts w:cs="Calibri"/>
                <w:b/>
                <w:bCs/>
              </w:rPr>
              <w:t>a preventivně výchovné</w:t>
            </w:r>
            <w:r>
              <w:rPr>
                <w:rFonts w:cs="Calibri"/>
                <w:b/>
                <w:bCs/>
              </w:rPr>
              <w:t xml:space="preserve"> </w:t>
            </w:r>
            <w:r w:rsidRPr="00E533AA">
              <w:rPr>
                <w:rFonts w:cs="Calibri"/>
                <w:b/>
                <w:bCs/>
              </w:rPr>
              <w:t>péče</w:t>
            </w:r>
          </w:p>
        </w:tc>
        <w:tc>
          <w:tcPr>
            <w:tcW w:w="6945" w:type="dxa"/>
          </w:tcPr>
          <w:p w14:paraId="460C4C82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F.3.1 </w:t>
            </w:r>
            <w:r w:rsidRPr="002F01F6">
              <w:rPr>
                <w:rFonts w:cs="Calibri"/>
              </w:rPr>
              <w:t>Prevence umístění dětí</w:t>
            </w:r>
            <w:r>
              <w:rPr>
                <w:rFonts w:cs="Calibri"/>
              </w:rPr>
              <w:t xml:space="preserve"> </w:t>
            </w:r>
            <w:r w:rsidRPr="002F01F6">
              <w:rPr>
                <w:rFonts w:cs="Calibri"/>
              </w:rPr>
              <w:t>do ústavní výchovy</w:t>
            </w:r>
          </w:p>
          <w:p w14:paraId="60DFFDBA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77C6C8EE" w14:textId="77777777" w:rsidTr="008F755D">
        <w:trPr>
          <w:trHeight w:val="454"/>
        </w:trPr>
        <w:tc>
          <w:tcPr>
            <w:tcW w:w="2124" w:type="dxa"/>
            <w:vMerge/>
          </w:tcPr>
          <w:p w14:paraId="37CD47BF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59462B33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F.3.2 </w:t>
            </w:r>
            <w:r w:rsidRPr="002F01F6">
              <w:rPr>
                <w:rFonts w:cs="Calibri"/>
              </w:rPr>
              <w:t>Minimalizace doby</w:t>
            </w:r>
            <w:r>
              <w:rPr>
                <w:rFonts w:cs="Calibri"/>
              </w:rPr>
              <w:t xml:space="preserve"> </w:t>
            </w:r>
            <w:r w:rsidRPr="002F01F6">
              <w:rPr>
                <w:rFonts w:cs="Calibri"/>
              </w:rPr>
              <w:t>strávené dítětem</w:t>
            </w:r>
            <w:r>
              <w:rPr>
                <w:rFonts w:cs="Calibri"/>
              </w:rPr>
              <w:t xml:space="preserve"> </w:t>
            </w:r>
            <w:r w:rsidRPr="002F01F6">
              <w:rPr>
                <w:rFonts w:cs="Calibri"/>
              </w:rPr>
              <w:t>v ústavní výchově</w:t>
            </w:r>
          </w:p>
          <w:p w14:paraId="73F421EF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01C0D86B" w14:textId="77777777" w:rsidTr="008F755D">
        <w:trPr>
          <w:trHeight w:val="454"/>
        </w:trPr>
        <w:tc>
          <w:tcPr>
            <w:tcW w:w="2124" w:type="dxa"/>
            <w:vMerge/>
          </w:tcPr>
          <w:p w14:paraId="20173D16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368F3AC0" w14:textId="77777777" w:rsidR="005C7852" w:rsidRPr="002F01F6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F.3.3 </w:t>
            </w:r>
            <w:r w:rsidRPr="002F01F6">
              <w:rPr>
                <w:rFonts w:cs="Calibri"/>
              </w:rPr>
              <w:t>Zvýšení kvality péče</w:t>
            </w:r>
            <w:r>
              <w:rPr>
                <w:rFonts w:cs="Calibri"/>
              </w:rPr>
              <w:t xml:space="preserve"> </w:t>
            </w:r>
            <w:r w:rsidRPr="002F01F6">
              <w:rPr>
                <w:rFonts w:cs="Calibri"/>
              </w:rPr>
              <w:t>o děti v podobě nových</w:t>
            </w:r>
            <w:r>
              <w:rPr>
                <w:rFonts w:cs="Calibri"/>
              </w:rPr>
              <w:t xml:space="preserve"> </w:t>
            </w:r>
            <w:r w:rsidRPr="002F01F6">
              <w:rPr>
                <w:rFonts w:cs="Calibri"/>
              </w:rPr>
              <w:t>přístupů a strategií práce</w:t>
            </w:r>
          </w:p>
          <w:p w14:paraId="2FCDB5B6" w14:textId="77777777" w:rsidR="005C7852" w:rsidRPr="0050624B" w:rsidRDefault="005C7852" w:rsidP="008F755D">
            <w:pPr>
              <w:rPr>
                <w:rFonts w:cs="Calibri"/>
              </w:rPr>
            </w:pPr>
            <w:r w:rsidRPr="002F01F6">
              <w:rPr>
                <w:rFonts w:cs="Calibri"/>
              </w:rPr>
              <w:t>s dětmi s</w:t>
            </w:r>
            <w:r>
              <w:rPr>
                <w:rFonts w:cs="Calibri"/>
              </w:rPr>
              <w:t> </w:t>
            </w:r>
            <w:r w:rsidRPr="002F01F6">
              <w:rPr>
                <w:rFonts w:cs="Calibri"/>
              </w:rPr>
              <w:t>poruchami</w:t>
            </w:r>
            <w:r>
              <w:rPr>
                <w:rFonts w:cs="Calibri"/>
              </w:rPr>
              <w:t xml:space="preserve"> </w:t>
            </w:r>
            <w:r w:rsidRPr="002F01F6">
              <w:rPr>
                <w:rFonts w:cs="Calibri"/>
              </w:rPr>
              <w:t>chování (prostřednictvím</w:t>
            </w:r>
            <w:r>
              <w:rPr>
                <w:rFonts w:cs="Calibri"/>
              </w:rPr>
              <w:t xml:space="preserve"> </w:t>
            </w:r>
            <w:r w:rsidRPr="002F01F6">
              <w:rPr>
                <w:rFonts w:cs="Calibri"/>
              </w:rPr>
              <w:t>specializovaných</w:t>
            </w:r>
            <w:r>
              <w:rPr>
                <w:rFonts w:cs="Calibri"/>
              </w:rPr>
              <w:t xml:space="preserve"> </w:t>
            </w:r>
            <w:r w:rsidRPr="002F01F6">
              <w:rPr>
                <w:rFonts w:cs="Calibri"/>
              </w:rPr>
              <w:t>programů)</w:t>
            </w:r>
          </w:p>
        </w:tc>
      </w:tr>
      <w:tr w:rsidR="005C7852" w:rsidRPr="0050624B" w14:paraId="4A4119F3" w14:textId="77777777" w:rsidTr="008F755D">
        <w:trPr>
          <w:trHeight w:val="454"/>
        </w:trPr>
        <w:tc>
          <w:tcPr>
            <w:tcW w:w="2124" w:type="dxa"/>
            <w:vMerge/>
          </w:tcPr>
          <w:p w14:paraId="5E3B376B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20C9E6B5" w14:textId="77777777" w:rsidR="005C7852" w:rsidRPr="002F01F6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F.3.4 </w:t>
            </w:r>
            <w:r w:rsidRPr="002F01F6">
              <w:rPr>
                <w:rFonts w:cs="Calibri"/>
              </w:rPr>
              <w:t>Moderní, efektivní,</w:t>
            </w:r>
            <w:r>
              <w:rPr>
                <w:rFonts w:cs="Calibri"/>
              </w:rPr>
              <w:t xml:space="preserve"> </w:t>
            </w:r>
            <w:r w:rsidRPr="002F01F6">
              <w:rPr>
                <w:rFonts w:cs="Calibri"/>
              </w:rPr>
              <w:t>dostupný a prostupný</w:t>
            </w:r>
            <w:r>
              <w:rPr>
                <w:rFonts w:cs="Calibri"/>
              </w:rPr>
              <w:t xml:space="preserve"> </w:t>
            </w:r>
            <w:r w:rsidRPr="002F01F6">
              <w:rPr>
                <w:rFonts w:cs="Calibri"/>
              </w:rPr>
              <w:t>meziresortní systém</w:t>
            </w:r>
          </w:p>
          <w:p w14:paraId="7CA46845" w14:textId="77777777" w:rsidR="005C7852" w:rsidRPr="0050624B" w:rsidRDefault="005C7852" w:rsidP="008F755D">
            <w:pPr>
              <w:rPr>
                <w:rFonts w:cs="Calibri"/>
              </w:rPr>
            </w:pPr>
            <w:r w:rsidRPr="002F01F6">
              <w:rPr>
                <w:rFonts w:cs="Calibri"/>
              </w:rPr>
              <w:t>s důrazem na kvalitu</w:t>
            </w:r>
            <w:r>
              <w:rPr>
                <w:rFonts w:cs="Calibri"/>
              </w:rPr>
              <w:t xml:space="preserve"> </w:t>
            </w:r>
            <w:r w:rsidRPr="002F01F6">
              <w:rPr>
                <w:rFonts w:cs="Calibri"/>
              </w:rPr>
              <w:t>a profesionalitu poskytované</w:t>
            </w:r>
            <w:r>
              <w:rPr>
                <w:rFonts w:cs="Calibri"/>
              </w:rPr>
              <w:t xml:space="preserve"> </w:t>
            </w:r>
            <w:r w:rsidRPr="002F01F6">
              <w:rPr>
                <w:rFonts w:cs="Calibri"/>
              </w:rPr>
              <w:t>včasné a cílené</w:t>
            </w:r>
            <w:r>
              <w:rPr>
                <w:rFonts w:cs="Calibri"/>
              </w:rPr>
              <w:t xml:space="preserve"> </w:t>
            </w:r>
            <w:r w:rsidRPr="002F01F6">
              <w:rPr>
                <w:rFonts w:cs="Calibri"/>
              </w:rPr>
              <w:t xml:space="preserve">péče </w:t>
            </w:r>
            <w:r>
              <w:rPr>
                <w:rFonts w:cs="Calibri"/>
              </w:rPr>
              <w:br/>
            </w:r>
            <w:r w:rsidRPr="002F01F6">
              <w:rPr>
                <w:rFonts w:cs="Calibri"/>
              </w:rPr>
              <w:t>o klienty</w:t>
            </w:r>
          </w:p>
        </w:tc>
      </w:tr>
      <w:tr w:rsidR="005C7852" w:rsidRPr="0050624B" w14:paraId="1F97DDD5" w14:textId="77777777" w:rsidTr="008F755D">
        <w:trPr>
          <w:trHeight w:val="454"/>
        </w:trPr>
        <w:tc>
          <w:tcPr>
            <w:tcW w:w="2124" w:type="dxa"/>
            <w:vMerge/>
          </w:tcPr>
          <w:p w14:paraId="3E8D54EC" w14:textId="77777777" w:rsidR="005C7852" w:rsidRPr="0050624B" w:rsidRDefault="005C7852" w:rsidP="008F755D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5" w:type="dxa"/>
          </w:tcPr>
          <w:p w14:paraId="4EFFACD0" w14:textId="77777777" w:rsidR="005C7852" w:rsidRPr="002F01F6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F.3.5 </w:t>
            </w:r>
            <w:r w:rsidRPr="002F01F6">
              <w:rPr>
                <w:rFonts w:cs="Calibri"/>
              </w:rPr>
              <w:t>Transformace sítě</w:t>
            </w:r>
            <w:r>
              <w:rPr>
                <w:rFonts w:cs="Calibri"/>
              </w:rPr>
              <w:t xml:space="preserve"> </w:t>
            </w:r>
            <w:r w:rsidRPr="002F01F6">
              <w:rPr>
                <w:rFonts w:cs="Calibri"/>
              </w:rPr>
              <w:t>zařízení a transformace</w:t>
            </w:r>
            <w:r>
              <w:rPr>
                <w:rFonts w:cs="Calibri"/>
              </w:rPr>
              <w:t xml:space="preserve"> </w:t>
            </w:r>
            <w:r w:rsidRPr="002F01F6">
              <w:rPr>
                <w:rFonts w:cs="Calibri"/>
              </w:rPr>
              <w:t>péče o ohrožené děti</w:t>
            </w:r>
          </w:p>
          <w:p w14:paraId="4195818D" w14:textId="77777777" w:rsidR="005C7852" w:rsidRPr="0050624B" w:rsidRDefault="005C7852" w:rsidP="008F755D">
            <w:pPr>
              <w:rPr>
                <w:rFonts w:cs="Calibri"/>
              </w:rPr>
            </w:pPr>
            <w:r w:rsidRPr="002F01F6">
              <w:rPr>
                <w:rFonts w:cs="Calibri"/>
              </w:rPr>
              <w:t>v dětských domovech</w:t>
            </w:r>
          </w:p>
        </w:tc>
      </w:tr>
    </w:tbl>
    <w:p w14:paraId="20260587" w14:textId="77777777" w:rsidR="005C7852" w:rsidRDefault="005C7852" w:rsidP="005C7852">
      <w:pPr>
        <w:rPr>
          <w:rFonts w:cs="Calibri"/>
        </w:rPr>
      </w:pPr>
    </w:p>
    <w:p w14:paraId="6DAEDB04" w14:textId="77777777" w:rsidR="005C7852" w:rsidRPr="004434DF" w:rsidRDefault="005C7852" w:rsidP="005C7852">
      <w:pPr>
        <w:spacing w:after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G</w:t>
      </w:r>
      <w:r w:rsidRPr="004434DF">
        <w:rPr>
          <w:rFonts w:cs="Calibri"/>
          <w:b/>
          <w:bCs/>
          <w:sz w:val="28"/>
          <w:szCs w:val="28"/>
          <w:u w:val="single"/>
        </w:rPr>
        <w:t xml:space="preserve">. </w:t>
      </w:r>
      <w:r>
        <w:rPr>
          <w:rFonts w:cs="Calibri"/>
          <w:b/>
          <w:bCs/>
          <w:sz w:val="28"/>
          <w:szCs w:val="28"/>
          <w:u w:val="single"/>
        </w:rPr>
        <w:t>Systémová podpora a řízení škol</w:t>
      </w:r>
    </w:p>
    <w:p w14:paraId="68151386" w14:textId="77777777" w:rsidR="005C7852" w:rsidRDefault="005C7852" w:rsidP="005C7852">
      <w:pPr>
        <w:pStyle w:val="Bezmezer"/>
      </w:pPr>
    </w:p>
    <w:tbl>
      <w:tblPr>
        <w:tblStyle w:val="Mkatabulky"/>
        <w:tblW w:w="90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5C7852" w:rsidRPr="0050624B" w14:paraId="513FBB7C" w14:textId="77777777" w:rsidTr="008F755D">
        <w:trPr>
          <w:trHeight w:val="454"/>
        </w:trPr>
        <w:tc>
          <w:tcPr>
            <w:tcW w:w="9067" w:type="dxa"/>
            <w:gridSpan w:val="2"/>
            <w:shd w:val="clear" w:color="auto" w:fill="C1E4F5" w:themeFill="accent1" w:themeFillTint="33"/>
            <w:vAlign w:val="center"/>
          </w:tcPr>
          <w:p w14:paraId="0B9AEB40" w14:textId="77777777" w:rsidR="005C7852" w:rsidRPr="00AD32A0" w:rsidRDefault="005C7852" w:rsidP="008F755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G</w:t>
            </w:r>
            <w:r w:rsidRPr="004434DF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 xml:space="preserve"> SYSTÉMOVÁ PODPORA A ŘÍZENÍ ŠKOL</w:t>
            </w:r>
            <w:r w:rsidRPr="00AD32A0">
              <w:rPr>
                <w:rFonts w:cs="Calibri"/>
                <w:b/>
                <w:bCs/>
              </w:rPr>
              <w:t xml:space="preserve"> </w:t>
            </w:r>
          </w:p>
        </w:tc>
      </w:tr>
      <w:tr w:rsidR="005C7852" w:rsidRPr="0050624B" w14:paraId="52F91C4A" w14:textId="77777777" w:rsidTr="008F755D">
        <w:trPr>
          <w:trHeight w:val="454"/>
        </w:trPr>
        <w:tc>
          <w:tcPr>
            <w:tcW w:w="2122" w:type="dxa"/>
            <w:shd w:val="clear" w:color="auto" w:fill="C1E4F5" w:themeFill="accent1" w:themeFillTint="33"/>
            <w:vAlign w:val="center"/>
          </w:tcPr>
          <w:p w14:paraId="15085798" w14:textId="77777777" w:rsidR="005C7852" w:rsidRPr="0050624B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 xml:space="preserve">Opatření </w:t>
            </w:r>
          </w:p>
        </w:tc>
        <w:tc>
          <w:tcPr>
            <w:tcW w:w="6945" w:type="dxa"/>
            <w:shd w:val="clear" w:color="auto" w:fill="C1E4F5" w:themeFill="accent1" w:themeFillTint="33"/>
            <w:vAlign w:val="center"/>
          </w:tcPr>
          <w:p w14:paraId="7C1529FF" w14:textId="77777777" w:rsidR="005C7852" w:rsidRPr="0050624B" w:rsidRDefault="005C7852" w:rsidP="008F755D">
            <w:pPr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>Vyhodnocení</w:t>
            </w:r>
            <w:r>
              <w:rPr>
                <w:rFonts w:cs="Calibri"/>
                <w:b/>
                <w:bCs/>
              </w:rPr>
              <w:t xml:space="preserve"> klíčových aktivit</w:t>
            </w:r>
          </w:p>
        </w:tc>
      </w:tr>
      <w:tr w:rsidR="005C7852" w:rsidRPr="0050624B" w14:paraId="10A19DF8" w14:textId="77777777" w:rsidTr="008F755D">
        <w:trPr>
          <w:trHeight w:val="454"/>
        </w:trPr>
        <w:tc>
          <w:tcPr>
            <w:tcW w:w="2122" w:type="dxa"/>
            <w:vMerge w:val="restart"/>
          </w:tcPr>
          <w:p w14:paraId="39BF1814" w14:textId="77777777" w:rsidR="005C7852" w:rsidRPr="005337F1" w:rsidRDefault="005C7852" w:rsidP="008F755D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G.1</w:t>
            </w:r>
          </w:p>
          <w:p w14:paraId="730B7EE5" w14:textId="77777777" w:rsidR="005C7852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6C23CF">
              <w:rPr>
                <w:rFonts w:cs="Calibri"/>
                <w:b/>
                <w:bCs/>
              </w:rPr>
              <w:t xml:space="preserve">Střední článek </w:t>
            </w:r>
          </w:p>
          <w:p w14:paraId="1B1009E9" w14:textId="77777777" w:rsidR="005C7852" w:rsidRPr="0050624B" w:rsidRDefault="005C7852" w:rsidP="008F755D">
            <w:pPr>
              <w:ind w:right="-309"/>
              <w:rPr>
                <w:rFonts w:cs="Calibri"/>
              </w:rPr>
            </w:pPr>
            <w:r w:rsidRPr="006C23CF">
              <w:rPr>
                <w:rFonts w:cs="Calibri"/>
                <w:b/>
                <w:bCs/>
              </w:rPr>
              <w:t>podpory</w:t>
            </w:r>
          </w:p>
        </w:tc>
        <w:tc>
          <w:tcPr>
            <w:tcW w:w="6945" w:type="dxa"/>
          </w:tcPr>
          <w:p w14:paraId="5158E6B7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G.1.1 </w:t>
            </w:r>
            <w:r w:rsidRPr="006C23CF">
              <w:rPr>
                <w:rFonts w:cs="Calibri"/>
              </w:rPr>
              <w:t>Implementace středního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článku podpory</w:t>
            </w:r>
          </w:p>
          <w:p w14:paraId="5A97E7BA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1D096DB0" w14:textId="77777777" w:rsidTr="008F755D">
        <w:trPr>
          <w:trHeight w:val="454"/>
        </w:trPr>
        <w:tc>
          <w:tcPr>
            <w:tcW w:w="2122" w:type="dxa"/>
            <w:vMerge/>
          </w:tcPr>
          <w:p w14:paraId="2335ECF1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66CF95B7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G.1.2 </w:t>
            </w:r>
            <w:r w:rsidRPr="006C23CF">
              <w:rPr>
                <w:rFonts w:cs="Calibri"/>
              </w:rPr>
              <w:t>Analýza efektivity výkonu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přenesené působnosti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státní správy</w:t>
            </w:r>
          </w:p>
          <w:p w14:paraId="44AF8837" w14:textId="77777777" w:rsidR="005C7852" w:rsidRPr="0050624B" w:rsidRDefault="005C7852" w:rsidP="008F755D">
            <w:pPr>
              <w:rPr>
                <w:rFonts w:cs="Calibri"/>
              </w:rPr>
            </w:pPr>
            <w:r w:rsidRPr="006C23CF">
              <w:rPr>
                <w:rFonts w:cs="Calibri"/>
              </w:rPr>
              <w:t>ve školství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na úroveň ORP a krajů</w:t>
            </w:r>
          </w:p>
        </w:tc>
      </w:tr>
      <w:tr w:rsidR="005C7852" w:rsidRPr="0050624B" w14:paraId="76B78FD8" w14:textId="77777777" w:rsidTr="008F755D">
        <w:trPr>
          <w:trHeight w:val="454"/>
        </w:trPr>
        <w:tc>
          <w:tcPr>
            <w:tcW w:w="2122" w:type="dxa"/>
            <w:vMerge/>
          </w:tcPr>
          <w:p w14:paraId="0DC1CC43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5EC5D937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G.1.3 </w:t>
            </w:r>
            <w:r w:rsidRPr="006C23CF">
              <w:rPr>
                <w:rFonts w:cs="Calibri"/>
              </w:rPr>
              <w:t>Příprava modelu financování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činností středního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článku po roce 2028</w:t>
            </w:r>
          </w:p>
          <w:p w14:paraId="672AF9A1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0B10FC4B" w14:textId="77777777" w:rsidTr="008F755D">
        <w:trPr>
          <w:trHeight w:val="454"/>
        </w:trPr>
        <w:tc>
          <w:tcPr>
            <w:tcW w:w="2122" w:type="dxa"/>
            <w:vMerge/>
          </w:tcPr>
          <w:p w14:paraId="7B16430F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20177E61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G.1.4 </w:t>
            </w:r>
            <w:r w:rsidRPr="006C23CF">
              <w:rPr>
                <w:rFonts w:cs="Calibri"/>
              </w:rPr>
              <w:t>Zvýšení kompetencí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pracovníků veřejné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správy ve školství</w:t>
            </w:r>
          </w:p>
          <w:p w14:paraId="40580051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36B127FC" w14:textId="77777777" w:rsidTr="008F755D">
        <w:trPr>
          <w:trHeight w:val="454"/>
        </w:trPr>
        <w:tc>
          <w:tcPr>
            <w:tcW w:w="2122" w:type="dxa"/>
            <w:vMerge w:val="restart"/>
          </w:tcPr>
          <w:p w14:paraId="25AB8D0F" w14:textId="77777777" w:rsidR="005C7852" w:rsidRPr="005337F1" w:rsidRDefault="005C7852" w:rsidP="008F755D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G.2</w:t>
            </w:r>
          </w:p>
          <w:p w14:paraId="414F3AB0" w14:textId="77777777" w:rsidR="005C7852" w:rsidRPr="006C23CF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6C23CF">
              <w:rPr>
                <w:rFonts w:cs="Calibri"/>
                <w:b/>
                <w:bCs/>
              </w:rPr>
              <w:t>Zefektivnění činnosti</w:t>
            </w:r>
          </w:p>
          <w:p w14:paraId="178B3B4C" w14:textId="77777777" w:rsidR="005C7852" w:rsidRPr="006C23CF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6C23CF">
              <w:rPr>
                <w:rFonts w:cs="Calibri"/>
                <w:b/>
                <w:bCs/>
              </w:rPr>
              <w:t>škol a školských</w:t>
            </w:r>
          </w:p>
          <w:p w14:paraId="536E7F6A" w14:textId="77777777" w:rsidR="005C7852" w:rsidRPr="0050624B" w:rsidRDefault="005C7852" w:rsidP="008F755D">
            <w:pPr>
              <w:ind w:right="-309"/>
              <w:rPr>
                <w:rFonts w:cs="Calibri"/>
              </w:rPr>
            </w:pPr>
            <w:r w:rsidRPr="006C23CF">
              <w:rPr>
                <w:rFonts w:cs="Calibri"/>
                <w:b/>
                <w:bCs/>
              </w:rPr>
              <w:t>zařízení</w:t>
            </w:r>
          </w:p>
        </w:tc>
        <w:tc>
          <w:tcPr>
            <w:tcW w:w="6945" w:type="dxa"/>
          </w:tcPr>
          <w:p w14:paraId="511AF72C" w14:textId="77777777" w:rsidR="005C7852" w:rsidRPr="006C23CF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>G.2.</w:t>
            </w:r>
            <w:r w:rsidRPr="006C23CF">
              <w:rPr>
                <w:rFonts w:cs="Calibri"/>
              </w:rPr>
              <w:t>1 Nastavení pravidelného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a dlouhodobého vyhodnocování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financování</w:t>
            </w:r>
          </w:p>
          <w:p w14:paraId="128941E2" w14:textId="77777777" w:rsidR="005C7852" w:rsidRPr="0050624B" w:rsidRDefault="005C7852" w:rsidP="008F755D">
            <w:pPr>
              <w:rPr>
                <w:rFonts w:cs="Calibri"/>
              </w:rPr>
            </w:pPr>
            <w:r w:rsidRPr="006C23CF">
              <w:rPr>
                <w:rFonts w:cs="Calibri"/>
              </w:rPr>
              <w:t>pedagogické práce</w:t>
            </w:r>
          </w:p>
        </w:tc>
      </w:tr>
      <w:tr w:rsidR="005C7852" w:rsidRPr="0050624B" w14:paraId="05C732A7" w14:textId="77777777" w:rsidTr="008F755D">
        <w:trPr>
          <w:trHeight w:val="454"/>
        </w:trPr>
        <w:tc>
          <w:tcPr>
            <w:tcW w:w="2122" w:type="dxa"/>
            <w:vMerge/>
          </w:tcPr>
          <w:p w14:paraId="4557C0D1" w14:textId="77777777" w:rsidR="005C7852" w:rsidRDefault="005C7852" w:rsidP="008F755D">
            <w:pPr>
              <w:ind w:right="-309"/>
              <w:rPr>
                <w:rFonts w:cs="Calibri"/>
                <w:b/>
                <w:bCs/>
              </w:rPr>
            </w:pPr>
          </w:p>
        </w:tc>
        <w:tc>
          <w:tcPr>
            <w:tcW w:w="6945" w:type="dxa"/>
          </w:tcPr>
          <w:p w14:paraId="528CFCB3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G.2.2 </w:t>
            </w:r>
            <w:r w:rsidRPr="006C23CF">
              <w:rPr>
                <w:rFonts w:cs="Calibri"/>
              </w:rPr>
              <w:t>Úprava modelu financování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regionálního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školství tak, aby více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podporovalo (motivovalo)</w:t>
            </w:r>
            <w:r>
              <w:rPr>
                <w:rFonts w:cs="Calibri"/>
              </w:rPr>
              <w:t xml:space="preserve"> ke </w:t>
            </w:r>
            <w:r w:rsidRPr="006C23CF">
              <w:rPr>
                <w:rFonts w:cs="Calibri"/>
              </w:rPr>
              <w:t>spojování ředitelství</w:t>
            </w:r>
          </w:p>
        </w:tc>
      </w:tr>
      <w:tr w:rsidR="005C7852" w:rsidRPr="0050624B" w14:paraId="4CBAC71B" w14:textId="77777777" w:rsidTr="008F755D">
        <w:trPr>
          <w:trHeight w:val="454"/>
        </w:trPr>
        <w:tc>
          <w:tcPr>
            <w:tcW w:w="2122" w:type="dxa"/>
            <w:vMerge/>
          </w:tcPr>
          <w:p w14:paraId="45EED90E" w14:textId="77777777" w:rsidR="005C7852" w:rsidRDefault="005C7852" w:rsidP="008F755D">
            <w:pPr>
              <w:ind w:right="-309"/>
              <w:rPr>
                <w:rFonts w:cs="Calibri"/>
                <w:b/>
                <w:bCs/>
              </w:rPr>
            </w:pPr>
          </w:p>
        </w:tc>
        <w:tc>
          <w:tcPr>
            <w:tcW w:w="6945" w:type="dxa"/>
          </w:tcPr>
          <w:p w14:paraId="7709C440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G.2.3 </w:t>
            </w:r>
            <w:r w:rsidRPr="006C23CF">
              <w:rPr>
                <w:rFonts w:cs="Calibri"/>
              </w:rPr>
              <w:t>Vytvoření modelu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nejmenší efektivní velikosti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školy na úrovni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jednoho zřizovatele</w:t>
            </w:r>
          </w:p>
        </w:tc>
      </w:tr>
      <w:tr w:rsidR="005C7852" w:rsidRPr="0050624B" w14:paraId="780B9933" w14:textId="77777777" w:rsidTr="008F755D">
        <w:trPr>
          <w:trHeight w:val="454"/>
        </w:trPr>
        <w:tc>
          <w:tcPr>
            <w:tcW w:w="2122" w:type="dxa"/>
            <w:vMerge/>
          </w:tcPr>
          <w:p w14:paraId="34753A64" w14:textId="77777777" w:rsidR="005C7852" w:rsidRDefault="005C7852" w:rsidP="008F755D">
            <w:pPr>
              <w:ind w:right="-309"/>
              <w:rPr>
                <w:rFonts w:cs="Calibri"/>
                <w:b/>
                <w:bCs/>
              </w:rPr>
            </w:pPr>
          </w:p>
        </w:tc>
        <w:tc>
          <w:tcPr>
            <w:tcW w:w="6945" w:type="dxa"/>
          </w:tcPr>
          <w:p w14:paraId="104DD12B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G.2.4 </w:t>
            </w:r>
            <w:r w:rsidRPr="006C23CF">
              <w:rPr>
                <w:rFonts w:cs="Calibri"/>
              </w:rPr>
              <w:t>Převzetí nepedagogických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činností zřizovatelem</w:t>
            </w:r>
          </w:p>
          <w:p w14:paraId="145E1300" w14:textId="77777777" w:rsidR="005C7852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46CF7EDD" w14:textId="77777777" w:rsidTr="008F755D">
        <w:trPr>
          <w:trHeight w:val="454"/>
        </w:trPr>
        <w:tc>
          <w:tcPr>
            <w:tcW w:w="2122" w:type="dxa"/>
            <w:vMerge/>
          </w:tcPr>
          <w:p w14:paraId="70012E30" w14:textId="77777777" w:rsidR="005C7852" w:rsidRDefault="005C7852" w:rsidP="008F755D">
            <w:pPr>
              <w:ind w:right="-309"/>
              <w:rPr>
                <w:rFonts w:cs="Calibri"/>
                <w:b/>
                <w:bCs/>
              </w:rPr>
            </w:pPr>
          </w:p>
        </w:tc>
        <w:tc>
          <w:tcPr>
            <w:tcW w:w="6945" w:type="dxa"/>
          </w:tcPr>
          <w:p w14:paraId="7855E098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G.2.5 </w:t>
            </w:r>
            <w:r w:rsidRPr="006C23CF">
              <w:rPr>
                <w:rFonts w:cs="Calibri"/>
              </w:rPr>
              <w:t>Rozdělení role ředitele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školy</w:t>
            </w:r>
          </w:p>
          <w:p w14:paraId="11961C7C" w14:textId="77777777" w:rsidR="005C7852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64D86E32" w14:textId="77777777" w:rsidTr="008F755D">
        <w:trPr>
          <w:trHeight w:val="454"/>
        </w:trPr>
        <w:tc>
          <w:tcPr>
            <w:tcW w:w="2122" w:type="dxa"/>
            <w:vMerge/>
          </w:tcPr>
          <w:p w14:paraId="2142B882" w14:textId="77777777" w:rsidR="005C7852" w:rsidRDefault="005C7852" w:rsidP="008F755D">
            <w:pPr>
              <w:ind w:right="-309"/>
              <w:rPr>
                <w:rFonts w:cs="Calibri"/>
                <w:b/>
                <w:bCs/>
              </w:rPr>
            </w:pPr>
          </w:p>
        </w:tc>
        <w:tc>
          <w:tcPr>
            <w:tcW w:w="6945" w:type="dxa"/>
          </w:tcPr>
          <w:p w14:paraId="17AD0D00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G.2.6 </w:t>
            </w:r>
            <w:r w:rsidRPr="006C23CF">
              <w:rPr>
                <w:rFonts w:cs="Calibri"/>
              </w:rPr>
              <w:t>Vytvoření modelu institucionalizace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podpůrných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pedagogických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pozic v</w:t>
            </w:r>
            <w:r>
              <w:rPr>
                <w:rFonts w:cs="Calibri"/>
              </w:rPr>
              <w:t> </w:t>
            </w:r>
            <w:r w:rsidRPr="006C23CF">
              <w:rPr>
                <w:rFonts w:cs="Calibri"/>
              </w:rPr>
              <w:t>předškolním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a středním vzdělávání</w:t>
            </w:r>
          </w:p>
        </w:tc>
      </w:tr>
      <w:tr w:rsidR="005C7852" w:rsidRPr="0050624B" w14:paraId="5D5D4DC9" w14:textId="77777777" w:rsidTr="008F755D">
        <w:trPr>
          <w:trHeight w:val="454"/>
        </w:trPr>
        <w:tc>
          <w:tcPr>
            <w:tcW w:w="2122" w:type="dxa"/>
            <w:vMerge/>
          </w:tcPr>
          <w:p w14:paraId="5E087304" w14:textId="77777777" w:rsidR="005C7852" w:rsidRDefault="005C7852" w:rsidP="008F755D">
            <w:pPr>
              <w:ind w:right="-309"/>
              <w:rPr>
                <w:rFonts w:cs="Calibri"/>
                <w:b/>
                <w:bCs/>
              </w:rPr>
            </w:pPr>
          </w:p>
        </w:tc>
        <w:tc>
          <w:tcPr>
            <w:tcW w:w="6945" w:type="dxa"/>
          </w:tcPr>
          <w:p w14:paraId="05314E27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G.2.7 </w:t>
            </w:r>
            <w:r w:rsidRPr="006C23CF">
              <w:rPr>
                <w:rFonts w:cs="Calibri"/>
              </w:rPr>
              <w:t>Stanovení spádovosti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v legislativě a vytvoření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online nástroje</w:t>
            </w:r>
          </w:p>
          <w:p w14:paraId="4F8FDEA5" w14:textId="77777777" w:rsidR="005C7852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3AB5DFC7" w14:textId="77777777" w:rsidTr="008F755D">
        <w:trPr>
          <w:trHeight w:val="454"/>
        </w:trPr>
        <w:tc>
          <w:tcPr>
            <w:tcW w:w="2122" w:type="dxa"/>
            <w:vMerge w:val="restart"/>
          </w:tcPr>
          <w:p w14:paraId="5F7DFCCC" w14:textId="77777777" w:rsidR="005C7852" w:rsidRPr="005337F1" w:rsidRDefault="005C7852" w:rsidP="008F755D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G.3</w:t>
            </w:r>
          </w:p>
          <w:p w14:paraId="7F5803B5" w14:textId="77777777" w:rsidR="005C7852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6C23CF">
              <w:rPr>
                <w:rFonts w:cs="Calibri"/>
                <w:b/>
                <w:bCs/>
              </w:rPr>
              <w:t>Evidence-</w:t>
            </w:r>
            <w:proofErr w:type="spellStart"/>
            <w:r w:rsidRPr="006C23CF">
              <w:rPr>
                <w:rFonts w:cs="Calibri"/>
                <w:b/>
                <w:bCs/>
              </w:rPr>
              <w:t>based</w:t>
            </w:r>
            <w:proofErr w:type="spellEnd"/>
            <w:r w:rsidRPr="006C23CF">
              <w:rPr>
                <w:rFonts w:cs="Calibri"/>
                <w:b/>
                <w:bCs/>
              </w:rPr>
              <w:t xml:space="preserve"> </w:t>
            </w:r>
          </w:p>
          <w:p w14:paraId="6E9342A4" w14:textId="77777777" w:rsidR="005C7852" w:rsidRPr="005337F1" w:rsidRDefault="005C7852" w:rsidP="008F755D">
            <w:pPr>
              <w:ind w:right="-309"/>
              <w:rPr>
                <w:rFonts w:cs="Calibri"/>
                <w:b/>
                <w:bCs/>
              </w:rPr>
            </w:pPr>
            <w:proofErr w:type="spellStart"/>
            <w:r w:rsidRPr="006C23CF">
              <w:rPr>
                <w:rFonts w:cs="Calibri"/>
                <w:b/>
                <w:bCs/>
              </w:rPr>
              <w:t>policy</w:t>
            </w:r>
            <w:proofErr w:type="spellEnd"/>
          </w:p>
        </w:tc>
        <w:tc>
          <w:tcPr>
            <w:tcW w:w="6945" w:type="dxa"/>
          </w:tcPr>
          <w:p w14:paraId="22709294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G.3.1 </w:t>
            </w:r>
            <w:r w:rsidRPr="006C23CF">
              <w:rPr>
                <w:rFonts w:cs="Calibri"/>
              </w:rPr>
              <w:t>Posílení datové politiky</w:t>
            </w:r>
          </w:p>
          <w:p w14:paraId="53B3FB20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1281AD92" w14:textId="77777777" w:rsidTr="008F755D">
        <w:trPr>
          <w:trHeight w:val="454"/>
        </w:trPr>
        <w:tc>
          <w:tcPr>
            <w:tcW w:w="2122" w:type="dxa"/>
            <w:vMerge/>
          </w:tcPr>
          <w:p w14:paraId="6E56B75F" w14:textId="77777777" w:rsidR="005C7852" w:rsidRPr="0050624B" w:rsidRDefault="005C7852" w:rsidP="008F755D">
            <w:pPr>
              <w:ind w:right="-309"/>
              <w:rPr>
                <w:rFonts w:cs="Calibri"/>
              </w:rPr>
            </w:pPr>
          </w:p>
        </w:tc>
        <w:tc>
          <w:tcPr>
            <w:tcW w:w="6945" w:type="dxa"/>
          </w:tcPr>
          <w:p w14:paraId="0FC5AECD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G.3.2 </w:t>
            </w:r>
            <w:r w:rsidRPr="006C23CF">
              <w:rPr>
                <w:rFonts w:cs="Calibri"/>
              </w:rPr>
              <w:t>Podpora pedagogického</w:t>
            </w:r>
            <w:r>
              <w:rPr>
                <w:rFonts w:cs="Calibri"/>
              </w:rPr>
              <w:t xml:space="preserve"> </w:t>
            </w:r>
            <w:r w:rsidRPr="006C23CF">
              <w:rPr>
                <w:rFonts w:cs="Calibri"/>
              </w:rPr>
              <w:t>a resortního výzkumu</w:t>
            </w:r>
          </w:p>
          <w:p w14:paraId="2DCFA88B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6AD456CF" w14:textId="77777777" w:rsidTr="008F755D">
        <w:trPr>
          <w:trHeight w:val="454"/>
        </w:trPr>
        <w:tc>
          <w:tcPr>
            <w:tcW w:w="2122" w:type="dxa"/>
            <w:vMerge/>
          </w:tcPr>
          <w:p w14:paraId="13EC820C" w14:textId="77777777" w:rsidR="005C7852" w:rsidRPr="0050624B" w:rsidRDefault="005C7852" w:rsidP="008F755D">
            <w:pPr>
              <w:ind w:right="-309"/>
              <w:rPr>
                <w:rFonts w:cs="Calibri"/>
              </w:rPr>
            </w:pPr>
          </w:p>
        </w:tc>
        <w:tc>
          <w:tcPr>
            <w:tcW w:w="6945" w:type="dxa"/>
          </w:tcPr>
          <w:p w14:paraId="7345CF30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>G.3.3</w:t>
            </w:r>
            <w:r>
              <w:t xml:space="preserve"> </w:t>
            </w:r>
            <w:r w:rsidRPr="00CC4CA2">
              <w:rPr>
                <w:rFonts w:cs="Calibri"/>
              </w:rPr>
              <w:t>Jednotný identifikátor</w:t>
            </w:r>
            <w:r>
              <w:rPr>
                <w:rFonts w:cs="Calibri"/>
              </w:rPr>
              <w:t xml:space="preserve"> </w:t>
            </w:r>
            <w:r w:rsidRPr="00CC4CA2">
              <w:rPr>
                <w:rFonts w:cs="Calibri"/>
              </w:rPr>
              <w:t>subjektu vzdělávání</w:t>
            </w:r>
            <w:r>
              <w:rPr>
                <w:rFonts w:cs="Calibri"/>
              </w:rPr>
              <w:t xml:space="preserve"> </w:t>
            </w:r>
            <w:r w:rsidRPr="00CC4CA2">
              <w:rPr>
                <w:rFonts w:cs="Calibri"/>
              </w:rPr>
              <w:t>(dítěte, žáka a studenta)</w:t>
            </w:r>
          </w:p>
          <w:p w14:paraId="582A538E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7225C77C" w14:textId="77777777" w:rsidTr="008F755D">
        <w:trPr>
          <w:trHeight w:val="454"/>
        </w:trPr>
        <w:tc>
          <w:tcPr>
            <w:tcW w:w="2122" w:type="dxa"/>
            <w:vMerge w:val="restart"/>
          </w:tcPr>
          <w:p w14:paraId="6F133670" w14:textId="77777777" w:rsidR="005C7852" w:rsidRPr="005337F1" w:rsidRDefault="005C7852" w:rsidP="008F755D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G.4</w:t>
            </w:r>
          </w:p>
          <w:p w14:paraId="4F1C4E9D" w14:textId="77777777" w:rsidR="005C7852" w:rsidRPr="006C23CF" w:rsidRDefault="005C7852" w:rsidP="008F755D">
            <w:pPr>
              <w:ind w:right="-309"/>
              <w:rPr>
                <w:rFonts w:cs="Calibri"/>
                <w:b/>
                <w:bCs/>
              </w:rPr>
            </w:pPr>
            <w:r w:rsidRPr="006C23CF">
              <w:rPr>
                <w:rFonts w:cs="Calibri"/>
                <w:b/>
                <w:bCs/>
              </w:rPr>
              <w:t>Optimalizace</w:t>
            </w:r>
          </w:p>
          <w:p w14:paraId="0C00B47B" w14:textId="77777777" w:rsidR="005C7852" w:rsidRPr="0050624B" w:rsidRDefault="005C7852" w:rsidP="008F755D">
            <w:pPr>
              <w:ind w:right="-309"/>
              <w:rPr>
                <w:rFonts w:cs="Calibri"/>
              </w:rPr>
            </w:pPr>
            <w:r w:rsidRPr="006C23CF">
              <w:rPr>
                <w:rFonts w:cs="Calibri"/>
                <w:b/>
                <w:bCs/>
              </w:rPr>
              <w:t>školského rejstříku</w:t>
            </w:r>
          </w:p>
        </w:tc>
        <w:tc>
          <w:tcPr>
            <w:tcW w:w="6945" w:type="dxa"/>
          </w:tcPr>
          <w:p w14:paraId="12188530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G.4.1 </w:t>
            </w:r>
            <w:r w:rsidRPr="00CC4CA2">
              <w:rPr>
                <w:rFonts w:cs="Calibri"/>
              </w:rPr>
              <w:t>Novela školského</w:t>
            </w:r>
            <w:r>
              <w:rPr>
                <w:rFonts w:cs="Calibri"/>
              </w:rPr>
              <w:t xml:space="preserve"> </w:t>
            </w:r>
            <w:r w:rsidRPr="00CC4CA2">
              <w:rPr>
                <w:rFonts w:cs="Calibri"/>
              </w:rPr>
              <w:t>zákona – propojení</w:t>
            </w:r>
            <w:r>
              <w:rPr>
                <w:rFonts w:cs="Calibri"/>
              </w:rPr>
              <w:t xml:space="preserve"> </w:t>
            </w:r>
            <w:r w:rsidRPr="00CC4CA2">
              <w:rPr>
                <w:rFonts w:cs="Calibri"/>
              </w:rPr>
              <w:t>rejstříku se základními</w:t>
            </w:r>
            <w:r>
              <w:rPr>
                <w:rFonts w:cs="Calibri"/>
              </w:rPr>
              <w:t xml:space="preserve"> </w:t>
            </w:r>
            <w:r w:rsidRPr="00CC4CA2">
              <w:rPr>
                <w:rFonts w:cs="Calibri"/>
              </w:rPr>
              <w:t>registry</w:t>
            </w:r>
          </w:p>
          <w:p w14:paraId="51BA463F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0C45BF0D" w14:textId="77777777" w:rsidTr="008F755D">
        <w:trPr>
          <w:trHeight w:val="454"/>
        </w:trPr>
        <w:tc>
          <w:tcPr>
            <w:tcW w:w="2122" w:type="dxa"/>
            <w:vMerge/>
          </w:tcPr>
          <w:p w14:paraId="2E62CFC4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1FC96573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G.4.2 </w:t>
            </w:r>
            <w:r w:rsidRPr="00CC4CA2">
              <w:rPr>
                <w:rFonts w:cs="Calibri"/>
              </w:rPr>
              <w:t>Nová aplikace rejstříku</w:t>
            </w:r>
            <w:r>
              <w:rPr>
                <w:rFonts w:cs="Calibri"/>
              </w:rPr>
              <w:t xml:space="preserve"> </w:t>
            </w:r>
            <w:r w:rsidRPr="00CC4CA2">
              <w:rPr>
                <w:rFonts w:cs="Calibri"/>
              </w:rPr>
              <w:t>s výstupy pro veřejnost,</w:t>
            </w:r>
            <w:r>
              <w:rPr>
                <w:rFonts w:cs="Calibri"/>
              </w:rPr>
              <w:t xml:space="preserve"> </w:t>
            </w:r>
            <w:r w:rsidRPr="00CC4CA2">
              <w:rPr>
                <w:rFonts w:cs="Calibri"/>
              </w:rPr>
              <w:t>jako má obchodní</w:t>
            </w:r>
            <w:r>
              <w:rPr>
                <w:rFonts w:cs="Calibri"/>
              </w:rPr>
              <w:t xml:space="preserve"> </w:t>
            </w:r>
            <w:r w:rsidRPr="00CC4CA2">
              <w:rPr>
                <w:rFonts w:cs="Calibri"/>
              </w:rPr>
              <w:t>rejstřík – výpis s</w:t>
            </w:r>
            <w:r>
              <w:rPr>
                <w:rFonts w:cs="Calibri"/>
              </w:rPr>
              <w:t> </w:t>
            </w:r>
            <w:r w:rsidRPr="00CC4CA2">
              <w:rPr>
                <w:rFonts w:cs="Calibri"/>
              </w:rPr>
              <w:t>minulostí</w:t>
            </w:r>
            <w:r>
              <w:rPr>
                <w:rFonts w:cs="Calibri"/>
              </w:rPr>
              <w:t xml:space="preserve"> </w:t>
            </w:r>
            <w:r w:rsidRPr="00CC4CA2">
              <w:rPr>
                <w:rFonts w:cs="Calibri"/>
              </w:rPr>
              <w:t>a automaticky</w:t>
            </w:r>
            <w:r>
              <w:rPr>
                <w:rFonts w:cs="Calibri"/>
              </w:rPr>
              <w:t xml:space="preserve"> </w:t>
            </w:r>
            <w:r w:rsidRPr="00CC4CA2">
              <w:rPr>
                <w:rFonts w:cs="Calibri"/>
              </w:rPr>
              <w:t>elektronicky podepsaný</w:t>
            </w:r>
            <w:r>
              <w:rPr>
                <w:rFonts w:cs="Calibri"/>
              </w:rPr>
              <w:t xml:space="preserve"> </w:t>
            </w:r>
            <w:r w:rsidRPr="00CC4CA2">
              <w:rPr>
                <w:rFonts w:cs="Calibri"/>
              </w:rPr>
              <w:t>úřadem</w:t>
            </w:r>
          </w:p>
        </w:tc>
      </w:tr>
      <w:tr w:rsidR="005C7852" w:rsidRPr="0050624B" w14:paraId="0D800F6D" w14:textId="77777777" w:rsidTr="008F755D">
        <w:trPr>
          <w:trHeight w:val="454"/>
        </w:trPr>
        <w:tc>
          <w:tcPr>
            <w:tcW w:w="2122" w:type="dxa"/>
            <w:vMerge/>
          </w:tcPr>
          <w:p w14:paraId="6ABF1A21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405A5DF9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G.4.3 </w:t>
            </w:r>
            <w:r w:rsidRPr="00CC4CA2">
              <w:rPr>
                <w:rFonts w:cs="Calibri"/>
              </w:rPr>
              <w:t>Analýza segmentu soukromých</w:t>
            </w:r>
            <w:r>
              <w:rPr>
                <w:rFonts w:cs="Calibri"/>
              </w:rPr>
              <w:t xml:space="preserve"> </w:t>
            </w:r>
            <w:r w:rsidRPr="00CC4CA2">
              <w:rPr>
                <w:rFonts w:cs="Calibri"/>
              </w:rPr>
              <w:t>a církevních</w:t>
            </w:r>
            <w:r>
              <w:rPr>
                <w:rFonts w:cs="Calibri"/>
              </w:rPr>
              <w:t xml:space="preserve"> </w:t>
            </w:r>
            <w:r w:rsidRPr="00CC4CA2">
              <w:rPr>
                <w:rFonts w:cs="Calibri"/>
              </w:rPr>
              <w:t>škol</w:t>
            </w:r>
          </w:p>
          <w:p w14:paraId="65D3E834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17C95437" w14:textId="77777777" w:rsidTr="008F755D">
        <w:trPr>
          <w:trHeight w:val="454"/>
        </w:trPr>
        <w:tc>
          <w:tcPr>
            <w:tcW w:w="2122" w:type="dxa"/>
            <w:vMerge/>
          </w:tcPr>
          <w:p w14:paraId="04DC77BB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18E9FE14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G.4.4 </w:t>
            </w:r>
            <w:r w:rsidRPr="00CC4CA2">
              <w:rPr>
                <w:rFonts w:cs="Calibri"/>
              </w:rPr>
              <w:t>Úprava kritérií pro zápis</w:t>
            </w:r>
            <w:r>
              <w:rPr>
                <w:rFonts w:cs="Calibri"/>
              </w:rPr>
              <w:t xml:space="preserve"> </w:t>
            </w:r>
            <w:r w:rsidRPr="00CC4CA2">
              <w:rPr>
                <w:rFonts w:cs="Calibri"/>
              </w:rPr>
              <w:t>nespádových škol</w:t>
            </w:r>
          </w:p>
          <w:p w14:paraId="63C50122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</w:tbl>
    <w:p w14:paraId="21B073CF" w14:textId="77777777" w:rsidR="005C7852" w:rsidRDefault="005C7852" w:rsidP="005C7852">
      <w:pPr>
        <w:rPr>
          <w:rFonts w:cs="Calibri"/>
        </w:rPr>
      </w:pPr>
    </w:p>
    <w:p w14:paraId="09579E06" w14:textId="77777777" w:rsidR="005C7852" w:rsidRPr="004434DF" w:rsidRDefault="005C7852" w:rsidP="005C7852">
      <w:pPr>
        <w:spacing w:after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H</w:t>
      </w:r>
      <w:r w:rsidRPr="004434DF">
        <w:rPr>
          <w:rFonts w:cs="Calibri"/>
          <w:b/>
          <w:bCs/>
          <w:sz w:val="28"/>
          <w:szCs w:val="28"/>
          <w:u w:val="single"/>
        </w:rPr>
        <w:t xml:space="preserve">. </w:t>
      </w:r>
      <w:r>
        <w:rPr>
          <w:rFonts w:cs="Calibri"/>
          <w:b/>
          <w:bCs/>
          <w:sz w:val="28"/>
          <w:szCs w:val="28"/>
          <w:u w:val="single"/>
        </w:rPr>
        <w:t>Vzdělávání v celoživotní perspektivě</w:t>
      </w:r>
    </w:p>
    <w:p w14:paraId="01560D26" w14:textId="77777777" w:rsidR="005C7852" w:rsidRDefault="005C7852" w:rsidP="005C7852">
      <w:pPr>
        <w:pStyle w:val="Bezmezer"/>
      </w:pPr>
    </w:p>
    <w:tbl>
      <w:tblPr>
        <w:tblStyle w:val="Mkatabulky"/>
        <w:tblW w:w="90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3"/>
        <w:gridCol w:w="6806"/>
      </w:tblGrid>
      <w:tr w:rsidR="005C7852" w:rsidRPr="0050624B" w14:paraId="6FF3C419" w14:textId="77777777" w:rsidTr="008F755D">
        <w:trPr>
          <w:trHeight w:val="454"/>
        </w:trPr>
        <w:tc>
          <w:tcPr>
            <w:tcW w:w="9069" w:type="dxa"/>
            <w:gridSpan w:val="2"/>
            <w:shd w:val="clear" w:color="auto" w:fill="C1E4F5" w:themeFill="accent1" w:themeFillTint="33"/>
            <w:vAlign w:val="center"/>
          </w:tcPr>
          <w:p w14:paraId="5D430A6C" w14:textId="77777777" w:rsidR="005C7852" w:rsidRPr="004434DF" w:rsidRDefault="005C7852" w:rsidP="008F755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</w:t>
            </w:r>
            <w:r w:rsidRPr="004434DF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 xml:space="preserve"> VZDĚLÁVÁNÍ V CELOŽIVOTNÍ PERSPEKTIVĚ</w:t>
            </w:r>
          </w:p>
        </w:tc>
      </w:tr>
      <w:tr w:rsidR="005C7852" w:rsidRPr="0050624B" w14:paraId="7DE837E9" w14:textId="77777777" w:rsidTr="008F755D">
        <w:trPr>
          <w:trHeight w:val="454"/>
        </w:trPr>
        <w:tc>
          <w:tcPr>
            <w:tcW w:w="2263" w:type="dxa"/>
            <w:shd w:val="clear" w:color="auto" w:fill="C1E4F5" w:themeFill="accent1" w:themeFillTint="33"/>
            <w:vAlign w:val="center"/>
          </w:tcPr>
          <w:p w14:paraId="75B6E9D7" w14:textId="77777777" w:rsidR="005C7852" w:rsidRPr="0050624B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 xml:space="preserve">Opatření </w:t>
            </w:r>
          </w:p>
        </w:tc>
        <w:tc>
          <w:tcPr>
            <w:tcW w:w="6806" w:type="dxa"/>
            <w:shd w:val="clear" w:color="auto" w:fill="C1E4F5" w:themeFill="accent1" w:themeFillTint="33"/>
            <w:vAlign w:val="center"/>
          </w:tcPr>
          <w:p w14:paraId="0535D991" w14:textId="77777777" w:rsidR="005C7852" w:rsidRPr="0050624B" w:rsidRDefault="005C7852" w:rsidP="008F755D">
            <w:pPr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>Vyhodnocení</w:t>
            </w:r>
            <w:r>
              <w:rPr>
                <w:rFonts w:cs="Calibri"/>
                <w:b/>
                <w:bCs/>
              </w:rPr>
              <w:t xml:space="preserve"> klíčových aktivit</w:t>
            </w:r>
          </w:p>
        </w:tc>
      </w:tr>
      <w:tr w:rsidR="005C7852" w:rsidRPr="0050624B" w14:paraId="072E8FC3" w14:textId="77777777" w:rsidTr="008F755D">
        <w:trPr>
          <w:trHeight w:val="454"/>
        </w:trPr>
        <w:tc>
          <w:tcPr>
            <w:tcW w:w="2263" w:type="dxa"/>
            <w:vMerge w:val="restart"/>
          </w:tcPr>
          <w:p w14:paraId="50B5D43D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H.1</w:t>
            </w:r>
          </w:p>
          <w:p w14:paraId="6A9C05E5" w14:textId="77777777" w:rsidR="005C7852" w:rsidRPr="00293F46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293F46">
              <w:rPr>
                <w:rFonts w:cs="Calibri"/>
                <w:b/>
                <w:bCs/>
              </w:rPr>
              <w:t>Rozvoj potenciálu</w:t>
            </w:r>
          </w:p>
          <w:p w14:paraId="7E9B04F2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293F46">
              <w:rPr>
                <w:rFonts w:cs="Calibri"/>
                <w:b/>
                <w:bCs/>
              </w:rPr>
              <w:t>každého jednotlivce</w:t>
            </w:r>
          </w:p>
        </w:tc>
        <w:tc>
          <w:tcPr>
            <w:tcW w:w="6806" w:type="dxa"/>
          </w:tcPr>
          <w:p w14:paraId="1C19A131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H.1.1 </w:t>
            </w:r>
            <w:r w:rsidRPr="00293F46">
              <w:rPr>
                <w:rFonts w:cs="Calibri"/>
              </w:rPr>
              <w:t>Podpora motivace</w:t>
            </w:r>
            <w:r>
              <w:rPr>
                <w:rFonts w:cs="Calibri"/>
              </w:rPr>
              <w:t xml:space="preserve"> </w:t>
            </w:r>
            <w:r w:rsidRPr="00293F46">
              <w:rPr>
                <w:rFonts w:cs="Calibri"/>
              </w:rPr>
              <w:t>k cílenému studiu cizích</w:t>
            </w:r>
            <w:r>
              <w:rPr>
                <w:rFonts w:cs="Calibri"/>
              </w:rPr>
              <w:t xml:space="preserve"> </w:t>
            </w:r>
            <w:r w:rsidRPr="00293F46">
              <w:rPr>
                <w:rFonts w:cs="Calibri"/>
              </w:rPr>
              <w:t>jazyků</w:t>
            </w:r>
          </w:p>
          <w:p w14:paraId="1E499039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091CF6D2" w14:textId="77777777" w:rsidTr="008F755D">
        <w:trPr>
          <w:trHeight w:val="454"/>
        </w:trPr>
        <w:tc>
          <w:tcPr>
            <w:tcW w:w="2263" w:type="dxa"/>
            <w:vMerge/>
          </w:tcPr>
          <w:p w14:paraId="204DD008" w14:textId="77777777" w:rsidR="005C7852" w:rsidRPr="0050624B" w:rsidRDefault="005C7852" w:rsidP="008F755D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806" w:type="dxa"/>
          </w:tcPr>
          <w:p w14:paraId="6432927A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H.1.2 </w:t>
            </w:r>
            <w:r w:rsidRPr="00293F46">
              <w:rPr>
                <w:rFonts w:cs="Calibri"/>
              </w:rPr>
              <w:t>Podpora nadání a talentu</w:t>
            </w:r>
          </w:p>
          <w:p w14:paraId="032A4EC8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09E6CCFD" w14:textId="77777777" w:rsidTr="008F755D">
        <w:trPr>
          <w:trHeight w:val="454"/>
        </w:trPr>
        <w:tc>
          <w:tcPr>
            <w:tcW w:w="2263" w:type="dxa"/>
            <w:vMerge/>
          </w:tcPr>
          <w:p w14:paraId="3735978E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806" w:type="dxa"/>
          </w:tcPr>
          <w:p w14:paraId="1E03F513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H.1.3 </w:t>
            </w:r>
            <w:r w:rsidRPr="00293F46">
              <w:rPr>
                <w:rFonts w:cs="Calibri"/>
              </w:rPr>
              <w:t>Podpora dobrovolnictví</w:t>
            </w:r>
          </w:p>
          <w:p w14:paraId="18DDA3EF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0DE40F83" w14:textId="77777777" w:rsidTr="008F755D">
        <w:trPr>
          <w:trHeight w:val="454"/>
        </w:trPr>
        <w:tc>
          <w:tcPr>
            <w:tcW w:w="2263" w:type="dxa"/>
            <w:vMerge w:val="restart"/>
          </w:tcPr>
          <w:p w14:paraId="7652AC1F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H.2</w:t>
            </w:r>
          </w:p>
          <w:p w14:paraId="5CA21387" w14:textId="77777777" w:rsidR="005C7852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E533AA">
              <w:rPr>
                <w:rFonts w:cs="Calibri"/>
                <w:b/>
                <w:bCs/>
              </w:rPr>
              <w:t>Pr</w:t>
            </w:r>
            <w:r>
              <w:rPr>
                <w:rFonts w:cs="Calibri"/>
                <w:b/>
                <w:bCs/>
              </w:rPr>
              <w:t xml:space="preserve">opojení </w:t>
            </w:r>
            <w:r w:rsidRPr="00293F46">
              <w:rPr>
                <w:rFonts w:cs="Calibri"/>
                <w:b/>
                <w:bCs/>
              </w:rPr>
              <w:t xml:space="preserve">všech </w:t>
            </w:r>
          </w:p>
          <w:p w14:paraId="50D3FC08" w14:textId="77777777" w:rsidR="005C7852" w:rsidRPr="00293F46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</w:t>
            </w:r>
            <w:r w:rsidRPr="00293F46">
              <w:rPr>
                <w:rFonts w:cs="Calibri"/>
                <w:b/>
                <w:bCs/>
              </w:rPr>
              <w:t>ložek</w:t>
            </w:r>
            <w:r>
              <w:rPr>
                <w:rFonts w:cs="Calibri"/>
                <w:b/>
                <w:bCs/>
              </w:rPr>
              <w:t xml:space="preserve"> </w:t>
            </w:r>
            <w:r w:rsidRPr="00293F46">
              <w:rPr>
                <w:rFonts w:cs="Calibri"/>
                <w:b/>
                <w:bCs/>
              </w:rPr>
              <w:t>vzdělávání – formálního,</w:t>
            </w:r>
          </w:p>
          <w:p w14:paraId="6F789E83" w14:textId="77777777" w:rsidR="005C7852" w:rsidRPr="00293F46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293F46">
              <w:rPr>
                <w:rFonts w:cs="Calibri"/>
                <w:b/>
                <w:bCs/>
              </w:rPr>
              <w:t>zájmového</w:t>
            </w:r>
          </w:p>
          <w:p w14:paraId="0165FF1B" w14:textId="77777777" w:rsidR="005C7852" w:rsidRPr="00293F46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293F46">
              <w:rPr>
                <w:rFonts w:cs="Calibri"/>
                <w:b/>
                <w:bCs/>
              </w:rPr>
              <w:t>a neformálního</w:t>
            </w:r>
          </w:p>
          <w:p w14:paraId="40F8577F" w14:textId="77777777" w:rsidR="005C7852" w:rsidRPr="00293F46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293F46">
              <w:rPr>
                <w:rFonts w:cs="Calibri"/>
                <w:b/>
                <w:bCs/>
              </w:rPr>
              <w:t>vzdělávání</w:t>
            </w:r>
          </w:p>
          <w:p w14:paraId="12416ED2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293F46">
              <w:rPr>
                <w:rFonts w:cs="Calibri"/>
                <w:b/>
                <w:bCs/>
              </w:rPr>
              <w:t>a informálního učení</w:t>
            </w:r>
          </w:p>
        </w:tc>
        <w:tc>
          <w:tcPr>
            <w:tcW w:w="6806" w:type="dxa"/>
          </w:tcPr>
          <w:p w14:paraId="73451865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H.2.1 </w:t>
            </w:r>
            <w:r w:rsidRPr="00293F46">
              <w:rPr>
                <w:rFonts w:cs="Calibri"/>
              </w:rPr>
              <w:t>Propojení formálního</w:t>
            </w:r>
            <w:r>
              <w:rPr>
                <w:rFonts w:cs="Calibri"/>
              </w:rPr>
              <w:t xml:space="preserve"> </w:t>
            </w:r>
            <w:r w:rsidRPr="00293F46">
              <w:rPr>
                <w:rFonts w:cs="Calibri"/>
              </w:rPr>
              <w:t>a zájmového vzdělávání</w:t>
            </w:r>
            <w:r>
              <w:rPr>
                <w:rFonts w:cs="Calibri"/>
              </w:rPr>
              <w:t xml:space="preserve"> </w:t>
            </w:r>
            <w:r w:rsidRPr="00293F46">
              <w:rPr>
                <w:rFonts w:cs="Calibri"/>
              </w:rPr>
              <w:t>ve škole</w:t>
            </w:r>
          </w:p>
          <w:p w14:paraId="3CC5DE0B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4155A3EA" w14:textId="77777777" w:rsidTr="008F755D">
        <w:trPr>
          <w:trHeight w:val="454"/>
        </w:trPr>
        <w:tc>
          <w:tcPr>
            <w:tcW w:w="2263" w:type="dxa"/>
            <w:vMerge/>
          </w:tcPr>
          <w:p w14:paraId="0133BAF5" w14:textId="77777777" w:rsidR="005C7852" w:rsidRPr="0050624B" w:rsidRDefault="005C7852" w:rsidP="008F755D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806" w:type="dxa"/>
          </w:tcPr>
          <w:p w14:paraId="3897FC7B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H.2.2 </w:t>
            </w:r>
            <w:r w:rsidRPr="00293F46">
              <w:rPr>
                <w:rFonts w:cs="Calibri"/>
              </w:rPr>
              <w:t>Propojování formálního,</w:t>
            </w:r>
            <w:r>
              <w:rPr>
                <w:rFonts w:cs="Calibri"/>
              </w:rPr>
              <w:t xml:space="preserve"> </w:t>
            </w:r>
            <w:r w:rsidRPr="00293F46">
              <w:rPr>
                <w:rFonts w:cs="Calibri"/>
              </w:rPr>
              <w:t>zájmového a neformálního</w:t>
            </w:r>
            <w:r>
              <w:rPr>
                <w:rFonts w:cs="Calibri"/>
              </w:rPr>
              <w:t xml:space="preserve"> </w:t>
            </w:r>
            <w:r w:rsidRPr="00293F46">
              <w:rPr>
                <w:rFonts w:cs="Calibri"/>
              </w:rPr>
              <w:t>vzdělávání</w:t>
            </w:r>
          </w:p>
          <w:p w14:paraId="39BDCC5B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55D657B6" w14:textId="77777777" w:rsidTr="008F755D">
        <w:trPr>
          <w:trHeight w:val="454"/>
        </w:trPr>
        <w:tc>
          <w:tcPr>
            <w:tcW w:w="2263" w:type="dxa"/>
            <w:vMerge/>
          </w:tcPr>
          <w:p w14:paraId="0D7E0E38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806" w:type="dxa"/>
          </w:tcPr>
          <w:p w14:paraId="37F43563" w14:textId="77777777" w:rsidR="005C7852" w:rsidRPr="00293F46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H.2.3 </w:t>
            </w:r>
            <w:r w:rsidRPr="00293F46">
              <w:rPr>
                <w:rFonts w:cs="Calibri"/>
              </w:rPr>
              <w:t>Revize rámcového</w:t>
            </w:r>
            <w:r>
              <w:rPr>
                <w:rFonts w:cs="Calibri"/>
              </w:rPr>
              <w:t xml:space="preserve"> </w:t>
            </w:r>
            <w:r w:rsidRPr="00293F46">
              <w:rPr>
                <w:rFonts w:cs="Calibri"/>
              </w:rPr>
              <w:t>vzdělávacího programu</w:t>
            </w:r>
            <w:r>
              <w:rPr>
                <w:rFonts w:cs="Calibri"/>
              </w:rPr>
              <w:t xml:space="preserve"> </w:t>
            </w:r>
            <w:r w:rsidRPr="00293F46">
              <w:rPr>
                <w:rFonts w:cs="Calibri"/>
              </w:rPr>
              <w:t>pro základní umělecké</w:t>
            </w:r>
          </w:p>
          <w:p w14:paraId="2EB0F5E6" w14:textId="77777777" w:rsidR="005C7852" w:rsidRPr="0050624B" w:rsidRDefault="005C7852" w:rsidP="008F755D">
            <w:pPr>
              <w:rPr>
                <w:rFonts w:cs="Calibri"/>
              </w:rPr>
            </w:pPr>
            <w:r w:rsidRPr="00293F46">
              <w:rPr>
                <w:rFonts w:cs="Calibri"/>
              </w:rPr>
              <w:t>vzdělávání a její implementace</w:t>
            </w:r>
          </w:p>
        </w:tc>
      </w:tr>
      <w:tr w:rsidR="005C7852" w:rsidRPr="0050624B" w14:paraId="5AA7AEE7" w14:textId="77777777" w:rsidTr="008F755D">
        <w:trPr>
          <w:trHeight w:val="454"/>
        </w:trPr>
        <w:tc>
          <w:tcPr>
            <w:tcW w:w="2263" w:type="dxa"/>
            <w:vMerge w:val="restart"/>
          </w:tcPr>
          <w:p w14:paraId="1AEFD52F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H.3</w:t>
            </w:r>
          </w:p>
          <w:p w14:paraId="7DD22D69" w14:textId="77777777" w:rsidR="005C7852" w:rsidRPr="00293F46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293F46">
              <w:rPr>
                <w:rFonts w:cs="Calibri"/>
                <w:b/>
                <w:bCs/>
              </w:rPr>
              <w:t>Podpora školských</w:t>
            </w:r>
          </w:p>
          <w:p w14:paraId="0324FDF9" w14:textId="77777777" w:rsidR="005C7852" w:rsidRPr="00293F46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293F46">
              <w:rPr>
                <w:rFonts w:cs="Calibri"/>
                <w:b/>
                <w:bCs/>
              </w:rPr>
              <w:t>zařízení pro zájmové</w:t>
            </w:r>
          </w:p>
          <w:p w14:paraId="3D2FF16E" w14:textId="77777777" w:rsidR="005C7852" w:rsidRPr="00293F46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293F46">
              <w:rPr>
                <w:rFonts w:cs="Calibri"/>
                <w:b/>
                <w:bCs/>
              </w:rPr>
              <w:t>vzdělávání a organizací</w:t>
            </w:r>
          </w:p>
          <w:p w14:paraId="734DD6BC" w14:textId="77777777" w:rsidR="005C7852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293F46">
              <w:rPr>
                <w:rFonts w:cs="Calibri"/>
                <w:b/>
                <w:bCs/>
              </w:rPr>
              <w:t>pracujících</w:t>
            </w:r>
            <w:r>
              <w:rPr>
                <w:rFonts w:cs="Calibri"/>
                <w:b/>
                <w:bCs/>
              </w:rPr>
              <w:t xml:space="preserve"> </w:t>
            </w:r>
            <w:r w:rsidRPr="00293F46">
              <w:rPr>
                <w:rFonts w:cs="Calibri"/>
                <w:b/>
                <w:bCs/>
              </w:rPr>
              <w:t xml:space="preserve">s dětmi </w:t>
            </w:r>
          </w:p>
          <w:p w14:paraId="0C33EFF9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  <w:r w:rsidRPr="00293F46">
              <w:rPr>
                <w:rFonts w:cs="Calibri"/>
                <w:b/>
                <w:bCs/>
              </w:rPr>
              <w:t>a mládeží</w:t>
            </w:r>
          </w:p>
        </w:tc>
        <w:tc>
          <w:tcPr>
            <w:tcW w:w="6806" w:type="dxa"/>
          </w:tcPr>
          <w:p w14:paraId="3F89D8BB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H.3.1 </w:t>
            </w:r>
            <w:r w:rsidRPr="00293F46">
              <w:rPr>
                <w:rFonts w:cs="Calibri"/>
              </w:rPr>
              <w:t>Dostupnost nabídky</w:t>
            </w:r>
            <w:r>
              <w:rPr>
                <w:rFonts w:cs="Calibri"/>
              </w:rPr>
              <w:t xml:space="preserve"> </w:t>
            </w:r>
            <w:r w:rsidRPr="00293F46">
              <w:rPr>
                <w:rFonts w:cs="Calibri"/>
              </w:rPr>
              <w:t>aktivit a služeb pro neorganizovanou</w:t>
            </w:r>
            <w:r>
              <w:rPr>
                <w:rFonts w:cs="Calibri"/>
              </w:rPr>
              <w:t xml:space="preserve"> </w:t>
            </w:r>
            <w:r w:rsidRPr="00293F46">
              <w:rPr>
                <w:rFonts w:cs="Calibri"/>
              </w:rPr>
              <w:t>mládež</w:t>
            </w:r>
          </w:p>
          <w:p w14:paraId="264C5D65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070B192B" w14:textId="77777777" w:rsidTr="008F755D">
        <w:trPr>
          <w:trHeight w:val="454"/>
        </w:trPr>
        <w:tc>
          <w:tcPr>
            <w:tcW w:w="2263" w:type="dxa"/>
            <w:vMerge/>
          </w:tcPr>
          <w:p w14:paraId="6DEDAB22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806" w:type="dxa"/>
          </w:tcPr>
          <w:p w14:paraId="51CB21AD" w14:textId="77777777" w:rsidR="005C7852" w:rsidRPr="0050624B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H.3.2 </w:t>
            </w:r>
            <w:r w:rsidRPr="00293F46">
              <w:rPr>
                <w:rFonts w:cs="Calibri"/>
              </w:rPr>
              <w:t>Analýza aktivit dětí a mládeže</w:t>
            </w:r>
            <w:r>
              <w:rPr>
                <w:rFonts w:cs="Calibri"/>
              </w:rPr>
              <w:t xml:space="preserve"> </w:t>
            </w:r>
            <w:r w:rsidRPr="00293F46">
              <w:rPr>
                <w:rFonts w:cs="Calibri"/>
              </w:rPr>
              <w:t>v</w:t>
            </w:r>
            <w:r>
              <w:rPr>
                <w:rFonts w:cs="Calibri"/>
              </w:rPr>
              <w:t> </w:t>
            </w:r>
            <w:r w:rsidRPr="00293F46">
              <w:rPr>
                <w:rFonts w:cs="Calibri"/>
              </w:rPr>
              <w:t>neformálním</w:t>
            </w:r>
            <w:r>
              <w:rPr>
                <w:rFonts w:cs="Calibri"/>
              </w:rPr>
              <w:t xml:space="preserve"> </w:t>
            </w:r>
            <w:r w:rsidRPr="00293F46">
              <w:rPr>
                <w:rFonts w:cs="Calibri"/>
              </w:rPr>
              <w:t xml:space="preserve">a zájmovém </w:t>
            </w:r>
            <w:r>
              <w:rPr>
                <w:rFonts w:cs="Calibri"/>
              </w:rPr>
              <w:t>v</w:t>
            </w:r>
            <w:r w:rsidRPr="00293F46">
              <w:rPr>
                <w:rFonts w:cs="Calibri"/>
              </w:rPr>
              <w:t>zdělávání</w:t>
            </w:r>
            <w:r>
              <w:rPr>
                <w:rFonts w:cs="Calibri"/>
              </w:rPr>
              <w:t xml:space="preserve"> </w:t>
            </w:r>
            <w:r w:rsidRPr="00293F46">
              <w:rPr>
                <w:rFonts w:cs="Calibri"/>
              </w:rPr>
              <w:t>v ČR včetně doporučení</w:t>
            </w:r>
            <w:r>
              <w:rPr>
                <w:rFonts w:cs="Calibri"/>
              </w:rPr>
              <w:t xml:space="preserve"> </w:t>
            </w:r>
            <w:r w:rsidRPr="00293F46">
              <w:rPr>
                <w:rFonts w:cs="Calibri"/>
              </w:rPr>
              <w:t>pro další kroky v oblasti</w:t>
            </w:r>
          </w:p>
          <w:p w14:paraId="78D7BA18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1ABFF04D" w14:textId="77777777" w:rsidTr="008F755D">
        <w:trPr>
          <w:trHeight w:val="454"/>
        </w:trPr>
        <w:tc>
          <w:tcPr>
            <w:tcW w:w="2263" w:type="dxa"/>
            <w:vMerge w:val="restart"/>
          </w:tcPr>
          <w:p w14:paraId="4FD13035" w14:textId="77777777" w:rsidR="005C7852" w:rsidRPr="005337F1" w:rsidRDefault="005C7852" w:rsidP="008F755D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H.4</w:t>
            </w:r>
          </w:p>
          <w:p w14:paraId="273333D4" w14:textId="77777777" w:rsidR="005C7852" w:rsidRPr="00293F46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293F46">
              <w:rPr>
                <w:rFonts w:cs="Calibri"/>
                <w:b/>
                <w:bCs/>
              </w:rPr>
              <w:t>Vytváření podmínek</w:t>
            </w:r>
          </w:p>
          <w:p w14:paraId="725805EF" w14:textId="77777777" w:rsidR="005C7852" w:rsidRPr="00293F46" w:rsidRDefault="005C7852" w:rsidP="008F755D">
            <w:pPr>
              <w:ind w:right="-114"/>
              <w:rPr>
                <w:rFonts w:cs="Calibri"/>
                <w:b/>
                <w:bCs/>
              </w:rPr>
            </w:pPr>
            <w:r w:rsidRPr="00293F46">
              <w:rPr>
                <w:rFonts w:cs="Calibri"/>
                <w:b/>
                <w:bCs/>
              </w:rPr>
              <w:t>pro další vzdělávání</w:t>
            </w:r>
          </w:p>
          <w:p w14:paraId="35E88B53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  <w:r w:rsidRPr="00293F46">
              <w:rPr>
                <w:rFonts w:cs="Calibri"/>
                <w:b/>
                <w:bCs/>
              </w:rPr>
              <w:lastRenderedPageBreak/>
              <w:t>občanů</w:t>
            </w:r>
          </w:p>
        </w:tc>
        <w:tc>
          <w:tcPr>
            <w:tcW w:w="6806" w:type="dxa"/>
          </w:tcPr>
          <w:p w14:paraId="3535BF67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H.4.1 </w:t>
            </w:r>
            <w:r w:rsidRPr="00293F46">
              <w:rPr>
                <w:rFonts w:cs="Calibri"/>
              </w:rPr>
              <w:t>Vytváření prostředí pro</w:t>
            </w:r>
            <w:r>
              <w:rPr>
                <w:rFonts w:cs="Calibri"/>
              </w:rPr>
              <w:t xml:space="preserve"> </w:t>
            </w:r>
            <w:r w:rsidRPr="00293F46">
              <w:rPr>
                <w:rFonts w:cs="Calibri"/>
              </w:rPr>
              <w:t>rozvoj a inovaci struktury</w:t>
            </w:r>
            <w:r>
              <w:rPr>
                <w:rFonts w:cs="Calibri"/>
              </w:rPr>
              <w:t xml:space="preserve"> </w:t>
            </w:r>
            <w:r w:rsidRPr="00293F46">
              <w:rPr>
                <w:rFonts w:cs="Calibri"/>
              </w:rPr>
              <w:t>dalšího vzdělávání</w:t>
            </w:r>
          </w:p>
          <w:p w14:paraId="69FC9A7F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5AF7F547" w14:textId="77777777" w:rsidTr="008F755D">
        <w:trPr>
          <w:trHeight w:val="454"/>
        </w:trPr>
        <w:tc>
          <w:tcPr>
            <w:tcW w:w="2263" w:type="dxa"/>
            <w:vMerge/>
          </w:tcPr>
          <w:p w14:paraId="50727E9B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806" w:type="dxa"/>
          </w:tcPr>
          <w:p w14:paraId="536FE8D5" w14:textId="77777777" w:rsidR="005C7852" w:rsidRPr="000220E4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H.4.2 </w:t>
            </w:r>
            <w:r w:rsidRPr="000220E4">
              <w:rPr>
                <w:rFonts w:cs="Calibri"/>
              </w:rPr>
              <w:t>Podpora flexibilních</w:t>
            </w:r>
            <w:r>
              <w:rPr>
                <w:rFonts w:cs="Calibri"/>
              </w:rPr>
              <w:t xml:space="preserve"> </w:t>
            </w:r>
            <w:r w:rsidRPr="000220E4">
              <w:rPr>
                <w:rFonts w:cs="Calibri"/>
              </w:rPr>
              <w:t>cest k získání, zvýšení,</w:t>
            </w:r>
            <w:r>
              <w:rPr>
                <w:rFonts w:cs="Calibri"/>
              </w:rPr>
              <w:t xml:space="preserve"> </w:t>
            </w:r>
            <w:r w:rsidRPr="000220E4">
              <w:rPr>
                <w:rFonts w:cs="Calibri"/>
              </w:rPr>
              <w:t>rozšíření a potvrzení</w:t>
            </w:r>
          </w:p>
          <w:p w14:paraId="07441C22" w14:textId="77777777" w:rsidR="005C7852" w:rsidRPr="0050624B" w:rsidRDefault="005C7852" w:rsidP="008F755D">
            <w:pPr>
              <w:rPr>
                <w:rFonts w:cs="Calibri"/>
              </w:rPr>
            </w:pPr>
            <w:r w:rsidRPr="000220E4">
              <w:rPr>
                <w:rFonts w:cs="Calibri"/>
              </w:rPr>
              <w:lastRenderedPageBreak/>
              <w:t>kvalifikace</w:t>
            </w:r>
          </w:p>
        </w:tc>
      </w:tr>
      <w:tr w:rsidR="005C7852" w:rsidRPr="0050624B" w14:paraId="0CA2341B" w14:textId="77777777" w:rsidTr="008F755D">
        <w:trPr>
          <w:trHeight w:val="454"/>
        </w:trPr>
        <w:tc>
          <w:tcPr>
            <w:tcW w:w="2263" w:type="dxa"/>
            <w:vMerge/>
          </w:tcPr>
          <w:p w14:paraId="75899615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806" w:type="dxa"/>
          </w:tcPr>
          <w:p w14:paraId="3A4F960C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H.4.3 </w:t>
            </w:r>
            <w:r w:rsidRPr="000220E4">
              <w:rPr>
                <w:rFonts w:cs="Calibri"/>
              </w:rPr>
              <w:t>Podpora škol v</w:t>
            </w:r>
            <w:r>
              <w:rPr>
                <w:rFonts w:cs="Calibri"/>
              </w:rPr>
              <w:t> </w:t>
            </w:r>
            <w:r w:rsidRPr="000220E4">
              <w:rPr>
                <w:rFonts w:cs="Calibri"/>
              </w:rPr>
              <w:t>poskytování</w:t>
            </w:r>
            <w:r>
              <w:rPr>
                <w:rFonts w:cs="Calibri"/>
              </w:rPr>
              <w:t xml:space="preserve"> </w:t>
            </w:r>
            <w:r w:rsidRPr="000220E4">
              <w:rPr>
                <w:rFonts w:cs="Calibri"/>
              </w:rPr>
              <w:t>dalšího vzdělávání</w:t>
            </w:r>
          </w:p>
          <w:p w14:paraId="1A3C0BED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  <w:tr w:rsidR="005C7852" w:rsidRPr="0050624B" w14:paraId="3DDC3E88" w14:textId="77777777" w:rsidTr="008F755D">
        <w:trPr>
          <w:trHeight w:val="454"/>
        </w:trPr>
        <w:tc>
          <w:tcPr>
            <w:tcW w:w="2263" w:type="dxa"/>
            <w:vMerge/>
          </w:tcPr>
          <w:p w14:paraId="45B59B58" w14:textId="77777777" w:rsidR="005C7852" w:rsidRPr="0050624B" w:rsidRDefault="005C7852" w:rsidP="008F755D">
            <w:pPr>
              <w:ind w:right="-114"/>
              <w:rPr>
                <w:rFonts w:cs="Calibri"/>
              </w:rPr>
            </w:pPr>
          </w:p>
        </w:tc>
        <w:tc>
          <w:tcPr>
            <w:tcW w:w="6806" w:type="dxa"/>
          </w:tcPr>
          <w:p w14:paraId="631546E6" w14:textId="77777777" w:rsidR="005C7852" w:rsidRDefault="005C7852" w:rsidP="008F755D">
            <w:pPr>
              <w:rPr>
                <w:rFonts w:cs="Calibri"/>
              </w:rPr>
            </w:pPr>
            <w:r>
              <w:rPr>
                <w:rFonts w:cs="Calibri"/>
              </w:rPr>
              <w:t xml:space="preserve">H.4.4 </w:t>
            </w:r>
            <w:r w:rsidRPr="000220E4">
              <w:rPr>
                <w:rFonts w:cs="Calibri"/>
              </w:rPr>
              <w:t>Rozvoj a podpora dalšího</w:t>
            </w:r>
            <w:r>
              <w:rPr>
                <w:rFonts w:cs="Calibri"/>
              </w:rPr>
              <w:t xml:space="preserve"> </w:t>
            </w:r>
            <w:r w:rsidRPr="000220E4">
              <w:rPr>
                <w:rFonts w:cs="Calibri"/>
              </w:rPr>
              <w:t>neprofesního vzdělávání</w:t>
            </w:r>
          </w:p>
          <w:p w14:paraId="424DCDC8" w14:textId="77777777" w:rsidR="005C7852" w:rsidRPr="0050624B" w:rsidRDefault="005C7852" w:rsidP="008F755D">
            <w:pPr>
              <w:rPr>
                <w:rFonts w:cs="Calibri"/>
              </w:rPr>
            </w:pPr>
          </w:p>
        </w:tc>
      </w:tr>
    </w:tbl>
    <w:p w14:paraId="4557CF2F" w14:textId="77777777" w:rsidR="005C7852" w:rsidRDefault="005C7852" w:rsidP="005C7852">
      <w:pPr>
        <w:rPr>
          <w:rFonts w:cs="Calibri"/>
        </w:rPr>
      </w:pPr>
    </w:p>
    <w:p w14:paraId="54B40781" w14:textId="77777777" w:rsidR="005C7852" w:rsidRDefault="005C7852" w:rsidP="005C7852"/>
    <w:p w14:paraId="1990BA01" w14:textId="77777777" w:rsidR="005C7852" w:rsidRDefault="005C7852" w:rsidP="005C7852"/>
    <w:p w14:paraId="32A296A2" w14:textId="77777777" w:rsidR="005C7C47" w:rsidRDefault="005C7C47"/>
    <w:sectPr w:rsidR="005C7C47" w:rsidSect="005C785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69270" w14:textId="77777777" w:rsidR="00C903D6" w:rsidRDefault="00C903D6">
      <w:pPr>
        <w:spacing w:after="0" w:line="240" w:lineRule="auto"/>
      </w:pPr>
      <w:r>
        <w:separator/>
      </w:r>
    </w:p>
  </w:endnote>
  <w:endnote w:type="continuationSeparator" w:id="0">
    <w:p w14:paraId="7F49C094" w14:textId="77777777" w:rsidR="00C903D6" w:rsidRDefault="00C9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5936889"/>
      <w:docPartObj>
        <w:docPartGallery w:val="Page Numbers (Bottom of Page)"/>
        <w:docPartUnique/>
      </w:docPartObj>
    </w:sdtPr>
    <w:sdtContent>
      <w:p w14:paraId="603C7F8B" w14:textId="77777777" w:rsidR="00FA0BF8" w:rsidRDefault="00000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5E6C5" w14:textId="77777777" w:rsidR="00FA0BF8" w:rsidRDefault="00FA0B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7AA81" w14:textId="77777777" w:rsidR="00C903D6" w:rsidRDefault="00C903D6">
      <w:pPr>
        <w:spacing w:after="0" w:line="240" w:lineRule="auto"/>
      </w:pPr>
      <w:r>
        <w:separator/>
      </w:r>
    </w:p>
  </w:footnote>
  <w:footnote w:type="continuationSeparator" w:id="0">
    <w:p w14:paraId="13ED5021" w14:textId="77777777" w:rsidR="00C903D6" w:rsidRDefault="00C90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52"/>
    <w:rsid w:val="000938A1"/>
    <w:rsid w:val="002F5D7F"/>
    <w:rsid w:val="00567DD5"/>
    <w:rsid w:val="005C7852"/>
    <w:rsid w:val="005C7C47"/>
    <w:rsid w:val="00623CF1"/>
    <w:rsid w:val="007A0F99"/>
    <w:rsid w:val="007A4A7A"/>
    <w:rsid w:val="00C903D6"/>
    <w:rsid w:val="00F83BB3"/>
    <w:rsid w:val="00FA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F827"/>
  <w15:chartTrackingRefBased/>
  <w15:docId w15:val="{85421958-AF7D-477D-80E3-49A0A6A0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852"/>
    <w:rPr>
      <w:rFonts w:ascii="Calibri" w:hAnsi="Calibr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C7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8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8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8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8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8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8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8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utoRedefine/>
    <w:uiPriority w:val="1"/>
    <w:qFormat/>
    <w:rsid w:val="007A4A7A"/>
    <w:pPr>
      <w:spacing w:after="0" w:line="240" w:lineRule="auto"/>
    </w:pPr>
    <w:rPr>
      <w:rFonts w:ascii="Calibri" w:hAnsi="Calibri"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5C7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852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852"/>
    <w:rPr>
      <w:rFonts w:eastAsiaTheme="majorEastAsia" w:cstheme="majorBidi"/>
      <w:color w:val="0F4761" w:themeColor="accent1" w:themeShade="BF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852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852"/>
    <w:rPr>
      <w:rFonts w:eastAsiaTheme="majorEastAsia" w:cstheme="majorBidi"/>
      <w:color w:val="595959" w:themeColor="text1" w:themeTint="A6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852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852"/>
    <w:rPr>
      <w:rFonts w:eastAsiaTheme="majorEastAsia" w:cstheme="majorBidi"/>
      <w:color w:val="272727" w:themeColor="text1" w:themeTint="D8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5C7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7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8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7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7852"/>
    <w:rPr>
      <w:rFonts w:ascii="Calibri" w:hAnsi="Calibri"/>
      <w:i/>
      <w:iCs/>
      <w:color w:val="404040" w:themeColor="text1" w:themeTint="BF"/>
      <w:sz w:val="22"/>
    </w:rPr>
  </w:style>
  <w:style w:type="paragraph" w:styleId="Odstavecseseznamem">
    <w:name w:val="List Paragraph"/>
    <w:basedOn w:val="Normln"/>
    <w:uiPriority w:val="34"/>
    <w:qFormat/>
    <w:rsid w:val="005C78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78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852"/>
    <w:rPr>
      <w:rFonts w:ascii="Calibri" w:hAnsi="Calibri"/>
      <w:i/>
      <w:iCs/>
      <w:color w:val="0F4761" w:themeColor="accent1" w:themeShade="BF"/>
      <w:sz w:val="22"/>
    </w:rPr>
  </w:style>
  <w:style w:type="character" w:styleId="Odkazintenzivn">
    <w:name w:val="Intense Reference"/>
    <w:basedOn w:val="Standardnpsmoodstavce"/>
    <w:uiPriority w:val="32"/>
    <w:qFormat/>
    <w:rsid w:val="005C785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C785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ln"/>
    <w:next w:val="Normln"/>
    <w:uiPriority w:val="99"/>
    <w:rsid w:val="005C7852"/>
    <w:pPr>
      <w:autoSpaceDE w:val="0"/>
      <w:autoSpaceDN w:val="0"/>
      <w:adjustRightInd w:val="0"/>
      <w:spacing w:after="0" w:line="221" w:lineRule="atLeast"/>
    </w:pPr>
    <w:rPr>
      <w:rFonts w:cs="Calibri"/>
      <w:kern w:val="0"/>
      <w:sz w:val="24"/>
    </w:rPr>
  </w:style>
  <w:style w:type="character" w:customStyle="1" w:styleId="A12">
    <w:name w:val="A12"/>
    <w:uiPriority w:val="99"/>
    <w:rsid w:val="005C7852"/>
    <w:rPr>
      <w:b/>
      <w:bCs/>
      <w:color w:val="000000"/>
      <w:sz w:val="19"/>
      <w:szCs w:val="19"/>
    </w:rPr>
  </w:style>
  <w:style w:type="paragraph" w:styleId="Zpat">
    <w:name w:val="footer"/>
    <w:basedOn w:val="Normln"/>
    <w:link w:val="ZpatChar"/>
    <w:uiPriority w:val="99"/>
    <w:unhideWhenUsed/>
    <w:rsid w:val="005C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85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1413</Words>
  <Characters>8337</Characters>
  <Application>Microsoft Office Word</Application>
  <DocSecurity>0</DocSecurity>
  <Lines>69</Lines>
  <Paragraphs>19</Paragraphs>
  <ScaleCrop>false</ScaleCrop>
  <Company>MSMT</Company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Silvie</dc:creator>
  <cp:keywords/>
  <dc:description/>
  <cp:lastModifiedBy>Havelková Silvie</cp:lastModifiedBy>
  <cp:revision>2</cp:revision>
  <dcterms:created xsi:type="dcterms:W3CDTF">2024-09-09T14:48:00Z</dcterms:created>
  <dcterms:modified xsi:type="dcterms:W3CDTF">2024-09-09T14:48:00Z</dcterms:modified>
</cp:coreProperties>
</file>